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360"/>
      </w:pPr>
      <w:r>
        <w:drawing>
          <wp:inline xmlns:a="http://schemas.openxmlformats.org/drawingml/2006/main" xmlns:pic="http://schemas.openxmlformats.org/drawingml/2006/picture">
            <wp:extent cx="2148840" cy="476591"/>
            <wp:docPr id="1" name="Picture 1" descr="Aries Reach logo" title="Aries Reach"/>
            <wp:cNvGraphicFramePr>
              <a:graphicFrameLocks noChangeAspect="1"/>
            </wp:cNvGraphicFramePr>
            <a:graphic>
              <a:graphicData uri="http://schemas.openxmlformats.org/drawingml/2006/picture">
                <pic:pic>
                  <pic:nvPicPr>
                    <pic:cNvPr id="0" name="reach-logo.png"/>
                    <pic:cNvPicPr/>
                  </pic:nvPicPr>
                  <pic:blipFill>
                    <a:blip r:embed="rId11"/>
                    <a:stretch>
                      <a:fillRect/>
                    </a:stretch>
                  </pic:blipFill>
                  <pic:spPr>
                    <a:xfrm>
                      <a:off x="0" y="0"/>
                      <a:ext cx="2148840" cy="476591"/>
                    </a:xfrm>
                    <a:prstGeom prst="rect"/>
                  </pic:spPr>
                </pic:pic>
              </a:graphicData>
            </a:graphic>
          </wp:inline>
        </w:drawing>
      </w:r>
    </w:p>
    <w:p>
      <w:pPr>
        <w:spacing w:after="80"/>
      </w:pPr>
      <w:r>
        <w:rPr>
          <w:rFonts w:ascii="Calibri" w:hAnsi="Calibri"/>
          <w:b/>
          <w:i w:val="0"/>
          <w:color w:val="09A0B3"/>
          <w:sz w:val="18"/>
        </w:rPr>
        <w:t>ENTERPRISE COMMERCIAL FRAMEWORK</w:t>
      </w:r>
    </w:p>
    <w:p>
      <w:pPr>
        <w:spacing w:after="120"/>
      </w:pPr>
      <w:r>
        <w:rPr>
          <w:rFonts w:ascii="Calibri" w:hAnsi="Calibri"/>
          <w:b/>
          <w:i w:val="0"/>
          <w:color w:val="173F48"/>
          <w:sz w:val="56"/>
        </w:rPr>
        <w:t>Aries Reach Enterprise Terms of Service</w:t>
      </w:r>
    </w:p>
    <w:p>
      <w:pPr>
        <w:spacing w:after="360"/>
      </w:pPr>
      <w:r>
        <w:rPr>
          <w:rFonts w:ascii="Calibri" w:hAnsi="Calibri"/>
          <w:b w:val="0"/>
          <w:i w:val="0"/>
          <w:color w:val="5F7A81"/>
          <w:sz w:val="27"/>
        </w:rPr>
        <w:t>Balanced public terms for governed experience intelligence across managed cloud, private cloud, on-premise and hybrid deployments.</w:t>
      </w:r>
    </w:p>
    <w:p>
      <w:pPr>
        <w:spacing w:after="60"/>
      </w:pPr>
      <w:r>
        <w:rPr>
          <w:rFonts w:ascii="Calibri" w:hAnsi="Calibri"/>
          <w:b/>
          <w:i w:val="0"/>
          <w:color w:val="09A0B3"/>
          <w:sz w:val="17"/>
        </w:rPr>
        <w:t xml:space="preserve">VERSION  </w:t>
      </w:r>
      <w:r>
        <w:rPr>
          <w:rFonts w:ascii="Calibri" w:hAnsi="Calibri"/>
          <w:b/>
          <w:i w:val="0"/>
          <w:color w:val="173F48"/>
          <w:sz w:val="21"/>
        </w:rPr>
        <w:t>2.0</w:t>
      </w:r>
    </w:p>
    <w:p>
      <w:pPr>
        <w:spacing w:after="60"/>
      </w:pPr>
      <w:r>
        <w:rPr>
          <w:rFonts w:ascii="Calibri" w:hAnsi="Calibri"/>
          <w:b/>
          <w:i w:val="0"/>
          <w:color w:val="09A0B3"/>
          <w:sz w:val="17"/>
        </w:rPr>
        <w:t xml:space="preserve">EFFECTIVE  </w:t>
      </w:r>
      <w:r>
        <w:rPr>
          <w:rFonts w:ascii="Calibri" w:hAnsi="Calibri"/>
          <w:b/>
          <w:i w:val="0"/>
          <w:color w:val="173F48"/>
          <w:sz w:val="21"/>
        </w:rPr>
        <w:t>24 August 2026</w:t>
      </w:r>
    </w:p>
    <w:p>
      <w:pPr>
        <w:spacing w:after="60"/>
      </w:pPr>
      <w:r>
        <w:rPr>
          <w:rFonts w:ascii="Calibri" w:hAnsi="Calibri"/>
          <w:b/>
          <w:i w:val="0"/>
          <w:color w:val="09A0B3"/>
          <w:sz w:val="17"/>
        </w:rPr>
        <w:t xml:space="preserve">STATUS  </w:t>
      </w:r>
      <w:r>
        <w:rPr>
          <w:rFonts w:ascii="Calibri" w:hAnsi="Calibri"/>
          <w:b/>
          <w:i w:val="0"/>
          <w:color w:val="173F48"/>
          <w:sz w:val="21"/>
        </w:rPr>
        <w:t>Public enterprise terms</w:t>
      </w:r>
    </w:p>
    <w:p>
      <w:pPr>
        <w:spacing w:after="60"/>
      </w:pPr>
      <w:r>
        <w:rPr>
          <w:rFonts w:ascii="Calibri" w:hAnsi="Calibri"/>
          <w:b/>
          <w:i w:val="0"/>
          <w:color w:val="09A0B3"/>
          <w:sz w:val="17"/>
        </w:rPr>
        <w:t xml:space="preserve">ORGANIZATION  </w:t>
      </w:r>
      <w:r>
        <w:rPr>
          <w:rFonts w:ascii="Calibri" w:hAnsi="Calibri"/>
          <w:b/>
          <w:i w:val="0"/>
          <w:color w:val="173F48"/>
          <w:sz w:val="21"/>
        </w:rPr>
        <w:t>Aries AI</w:t>
      </w:r>
    </w:p>
    <w:p>
      <w:pPr>
        <w:spacing w:after="60"/>
      </w:pPr>
      <w:r>
        <w:rPr>
          <w:rFonts w:ascii="Calibri" w:hAnsi="Calibri"/>
          <w:b/>
          <w:i w:val="0"/>
          <w:color w:val="09A0B3"/>
          <w:sz w:val="17"/>
        </w:rPr>
        <w:t xml:space="preserve">SERVICE  </w:t>
      </w:r>
      <w:r>
        <w:rPr>
          <w:rFonts w:ascii="Calibri" w:hAnsi="Calibri"/>
          <w:b/>
          <w:i w:val="0"/>
          <w:color w:val="173F48"/>
          <w:sz w:val="21"/>
        </w:rPr>
        <w:t>Aries Reach</w:t>
      </w:r>
    </w:p>
    <w:p>
      <w:pPr>
        <w:spacing w:after="60"/>
      </w:pPr>
      <w:r>
        <w:rPr>
          <w:rFonts w:ascii="Calibri" w:hAnsi="Calibri"/>
          <w:b/>
          <w:i w:val="0"/>
          <w:color w:val="09A0B3"/>
          <w:sz w:val="17"/>
        </w:rPr>
        <w:t xml:space="preserve">CONTACT  </w:t>
      </w:r>
      <w:r>
        <w:rPr>
          <w:rFonts w:ascii="Calibri" w:hAnsi="Calibri"/>
          <w:b/>
          <w:i w:val="0"/>
          <w:color w:val="173F48"/>
          <w:sz w:val="21"/>
        </w:rPr>
        <w:t>info@ariesai.ai</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CONTRACT STATUS  </w:t>
            </w:r>
            <w:r>
              <w:rPr>
                <w:rFonts w:ascii="Calibri" w:hAnsi="Calibri"/>
                <w:b w:val="0"/>
                <w:i w:val="0"/>
                <w:color w:val="173F48"/>
                <w:sz w:val="21"/>
              </w:rPr>
              <w:t>These public Terms become binding only when incorporated into an Order Form or accepted by an authorized Customer representative. A signed master services agreement or Order Form may replace or modify specific provisions.</w:t>
            </w:r>
          </w:p>
        </w:tc>
      </w:tr>
    </w:tbl>
    <w:p>
      <w:pPr>
        <w:spacing w:after="0"/>
      </w:pPr>
    </w:p>
    <w:p>
      <w:pPr>
        <w:spacing w:before="240" w:after="0"/>
      </w:pPr>
      <w:r>
        <w:rPr>
          <w:rFonts w:ascii="Calibri" w:hAnsi="Calibri"/>
          <w:b w:val="0"/>
          <w:i/>
          <w:color w:val="5F7A81"/>
          <w:sz w:val="18"/>
        </w:rPr>
        <w:t>Legal review note: This draft is prepared for enterprise procurement and contracting review. Aries AI should obtain advice from qualified counsel before formal adoption or customer execution.</w:t>
      </w:r>
    </w:p>
    <w:p>
      <w:r>
        <w:br w:type="page"/>
      </w:r>
    </w:p>
    <w:p>
      <w:pPr>
        <w:pStyle w:val="Heading1"/>
        <w:numPr>
          <w:ilvl w:val="0"/>
          <w:numId w:val="12"/>
        </w:numPr>
      </w:pPr>
      <w:r>
        <w:rPr>
          <w:rFonts w:ascii="Calibri" w:hAnsi="Calibri"/>
          <w:b/>
          <w:i w:val="0"/>
          <w:color w:val="09A0B3"/>
          <w:sz w:val="32"/>
        </w:rPr>
        <w:t>Agreement and acceptance</w:t>
      </w:r>
    </w:p>
    <w:p>
      <w:r>
        <w:rPr>
          <w:rFonts w:ascii="Calibri" w:hAnsi="Calibri"/>
          <w:b w:val="0"/>
          <w:i w:val="0"/>
          <w:color w:val="2F4F57"/>
          <w:sz w:val="22"/>
        </w:rPr>
        <w:t>These Enterprise Terms of Service ("Terms") govern access to and use of Aries Reach and related professional, support and implementation services supplied by the Aries AI contracting entity identified in the Order Form ("Aries AI"). The organization accepting an Order Form or otherwise agreeing to these Terms is the "Customer". Each party represents that the person accepting the Agreement has authority to bind it.</w:t>
      </w:r>
    </w:p>
    <w:p>
      <w:r>
        <w:rPr>
          <w:rFonts w:ascii="Calibri" w:hAnsi="Calibri"/>
          <w:b w:val="0"/>
          <w:i w:val="0"/>
          <w:color w:val="2F4F57"/>
          <w:sz w:val="22"/>
        </w:rPr>
        <w:t>The "Agreement" consists of the documents identified in the Order Form, which may include a master services agreement, these Terms, the Data Processing Addendum ("DPA"), security or solution schedules and other incorporated documents.</w:t>
      </w:r>
    </w:p>
    <w:p>
      <w:pPr>
        <w:pStyle w:val="Heading1"/>
        <w:numPr>
          <w:ilvl w:val="0"/>
          <w:numId w:val="12"/>
        </w:numPr>
      </w:pPr>
      <w:r>
        <w:rPr>
          <w:rFonts w:ascii="Calibri" w:hAnsi="Calibri"/>
          <w:b/>
          <w:i w:val="0"/>
          <w:color w:val="09A0B3"/>
          <w:sz w:val="32"/>
        </w:rPr>
        <w:t>Order of precedence</w:t>
      </w:r>
    </w:p>
    <w:p>
      <w:r>
        <w:rPr>
          <w:rFonts w:ascii="Calibri" w:hAnsi="Calibri"/>
          <w:b w:val="0"/>
          <w:i w:val="0"/>
          <w:color w:val="2F4F57"/>
          <w:sz w:val="22"/>
        </w:rPr>
        <w:t>If incorporated documents conflict, the following order applies unless the Order Form expressly states otherwise:</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1250"/>
        <w:gridCol w:w="3200"/>
        <w:gridCol w:w="4910"/>
      </w:tblGrid>
      <w:tr>
        <w:trPr>
          <w:tblHeader w:val="true"/>
        </w:trPr>
        <w:tc>
          <w:tcPr>
            <w:tcW w:type="dxa" w:w="1250"/>
            <w:tcMar>
              <w:top w:w="80" w:type="dxa"/>
              <w:start w:w="120" w:type="dxa"/>
              <w:bottom w:w="80" w:type="dxa"/>
              <w:end w:w="120" w:type="dxa"/>
            </w:tcMar>
            <w:shd w:fill="F2F4F7"/>
          </w:tcPr>
          <w:p>
            <w:pPr>
              <w:spacing w:after="0"/>
            </w:pPr>
            <w:r>
              <w:rPr>
                <w:rFonts w:ascii="Calibri" w:hAnsi="Calibri"/>
                <w:b/>
                <w:i w:val="0"/>
                <w:color w:val="173F48"/>
                <w:sz w:val="18"/>
              </w:rPr>
              <w:t>PRIORITY</w:t>
            </w:r>
          </w:p>
        </w:tc>
        <w:tc>
          <w:tcPr>
            <w:tcW w:type="dxa" w:w="3200"/>
            <w:tcMar>
              <w:top w:w="80" w:type="dxa"/>
              <w:start w:w="120" w:type="dxa"/>
              <w:bottom w:w="80" w:type="dxa"/>
              <w:end w:w="120" w:type="dxa"/>
            </w:tcMar>
            <w:shd w:fill="F2F4F7"/>
          </w:tcPr>
          <w:p>
            <w:pPr>
              <w:spacing w:after="0"/>
            </w:pPr>
            <w:r>
              <w:rPr>
                <w:rFonts w:ascii="Calibri" w:hAnsi="Calibri"/>
                <w:b/>
                <w:i w:val="0"/>
                <w:color w:val="173F48"/>
                <w:sz w:val="18"/>
              </w:rPr>
              <w:t>DOCUMENT</w:t>
            </w:r>
          </w:p>
        </w:tc>
        <w:tc>
          <w:tcPr>
            <w:tcW w:type="dxa" w:w="4910"/>
            <w:tcMar>
              <w:top w:w="80" w:type="dxa"/>
              <w:start w:w="120" w:type="dxa"/>
              <w:bottom w:w="80" w:type="dxa"/>
              <w:end w:w="120" w:type="dxa"/>
            </w:tcMar>
            <w:shd w:fill="F2F4F7"/>
          </w:tcPr>
          <w:p>
            <w:pPr>
              <w:spacing w:after="0"/>
            </w:pPr>
            <w:r>
              <w:rPr>
                <w:rFonts w:ascii="Calibri" w:hAnsi="Calibri"/>
                <w:b/>
                <w:i w:val="0"/>
                <w:color w:val="173F48"/>
                <w:sz w:val="18"/>
              </w:rPr>
              <w:t>PRIMARY PURPOSE</w:t>
            </w:r>
          </w:p>
        </w:tc>
      </w:tr>
      <w:tr>
        <w:tc>
          <w:tcPr>
            <w:tcW w:type="dxa" w:w="1250"/>
            <w:vAlign w:val="center"/>
            <w:tcMar>
              <w:top w:w="80" w:type="dxa"/>
              <w:start w:w="120" w:type="dxa"/>
              <w:bottom w:w="80" w:type="dxa"/>
              <w:end w:w="120" w:type="dxa"/>
            </w:tcMar>
          </w:tcPr>
          <w:p>
            <w:pPr>
              <w:spacing w:after="0"/>
            </w:pPr>
            <w:r>
              <w:rPr>
                <w:rFonts w:ascii="Calibri" w:hAnsi="Calibri"/>
                <w:b w:val="0"/>
                <w:i w:val="0"/>
                <w:color w:val="2F4F57"/>
                <w:sz w:val="18"/>
              </w:rPr>
              <w:t>1</w:t>
            </w:r>
          </w:p>
        </w:tc>
        <w:tc>
          <w:tcPr>
            <w:tcW w:type="dxa" w:w="3200"/>
            <w:vAlign w:val="center"/>
            <w:tcMar>
              <w:top w:w="80" w:type="dxa"/>
              <w:start w:w="120" w:type="dxa"/>
              <w:bottom w:w="80" w:type="dxa"/>
              <w:end w:w="120" w:type="dxa"/>
            </w:tcMar>
          </w:tcPr>
          <w:p>
            <w:pPr>
              <w:spacing w:after="0"/>
            </w:pPr>
            <w:r>
              <w:rPr>
                <w:rFonts w:ascii="Calibri" w:hAnsi="Calibri"/>
                <w:b w:val="0"/>
                <w:i w:val="0"/>
                <w:color w:val="2F4F57"/>
                <w:sz w:val="18"/>
              </w:rPr>
              <w:t>Order Form or signed amendment</w:t>
            </w:r>
          </w:p>
        </w:tc>
        <w:tc>
          <w:tcPr>
            <w:tcW w:type="dxa" w:w="4910"/>
            <w:vAlign w:val="center"/>
            <w:tcMar>
              <w:top w:w="80" w:type="dxa"/>
              <w:start w:w="120" w:type="dxa"/>
              <w:bottom w:w="80" w:type="dxa"/>
              <w:end w:w="120" w:type="dxa"/>
            </w:tcMar>
          </w:tcPr>
          <w:p>
            <w:pPr>
              <w:spacing w:after="0"/>
            </w:pPr>
            <w:r>
              <w:rPr>
                <w:rFonts w:ascii="Calibri" w:hAnsi="Calibri"/>
                <w:b w:val="0"/>
                <w:i w:val="0"/>
                <w:color w:val="2F4F57"/>
                <w:sz w:val="18"/>
              </w:rPr>
              <w:t>Commercial scope, fees, deployment and express negotiated changes</w:t>
            </w:r>
          </w:p>
        </w:tc>
      </w:tr>
      <w:tr>
        <w:tc>
          <w:tcPr>
            <w:tcW w:type="dxa" w:w="1250"/>
            <w:vAlign w:val="center"/>
            <w:tcMar>
              <w:top w:w="80" w:type="dxa"/>
              <w:start w:w="120" w:type="dxa"/>
              <w:bottom w:w="80" w:type="dxa"/>
              <w:end w:w="120" w:type="dxa"/>
            </w:tcMar>
          </w:tcPr>
          <w:p>
            <w:pPr>
              <w:spacing w:after="0"/>
            </w:pPr>
            <w:r>
              <w:rPr>
                <w:rFonts w:ascii="Calibri" w:hAnsi="Calibri"/>
                <w:b w:val="0"/>
                <w:i w:val="0"/>
                <w:color w:val="2F4F57"/>
                <w:sz w:val="18"/>
              </w:rPr>
              <w:t>2</w:t>
            </w:r>
          </w:p>
        </w:tc>
        <w:tc>
          <w:tcPr>
            <w:tcW w:type="dxa" w:w="3200"/>
            <w:vAlign w:val="center"/>
            <w:tcMar>
              <w:top w:w="80" w:type="dxa"/>
              <w:start w:w="120" w:type="dxa"/>
              <w:bottom w:w="80" w:type="dxa"/>
              <w:end w:w="120" w:type="dxa"/>
            </w:tcMar>
          </w:tcPr>
          <w:p>
            <w:pPr>
              <w:spacing w:after="0"/>
            </w:pPr>
            <w:r>
              <w:rPr>
                <w:rFonts w:ascii="Calibri" w:hAnsi="Calibri"/>
                <w:b w:val="0"/>
                <w:i w:val="0"/>
                <w:color w:val="2F4F57"/>
                <w:sz w:val="18"/>
              </w:rPr>
              <w:t>Master services agreement, if any</w:t>
            </w:r>
          </w:p>
        </w:tc>
        <w:tc>
          <w:tcPr>
            <w:tcW w:type="dxa" w:w="4910"/>
            <w:vAlign w:val="center"/>
            <w:tcMar>
              <w:top w:w="80" w:type="dxa"/>
              <w:start w:w="120" w:type="dxa"/>
              <w:bottom w:w="80" w:type="dxa"/>
              <w:end w:w="120" w:type="dxa"/>
            </w:tcMar>
          </w:tcPr>
          <w:p>
            <w:pPr>
              <w:spacing w:after="0"/>
            </w:pPr>
            <w:r>
              <w:rPr>
                <w:rFonts w:ascii="Calibri" w:hAnsi="Calibri"/>
                <w:b w:val="0"/>
                <w:i w:val="0"/>
                <w:color w:val="2F4F57"/>
                <w:sz w:val="18"/>
              </w:rPr>
              <w:t>Relationship-wide negotiated terms</w:t>
            </w:r>
          </w:p>
        </w:tc>
      </w:tr>
      <w:tr>
        <w:tc>
          <w:tcPr>
            <w:tcW w:type="dxa" w:w="1250"/>
            <w:vAlign w:val="center"/>
            <w:tcMar>
              <w:top w:w="80" w:type="dxa"/>
              <w:start w:w="120" w:type="dxa"/>
              <w:bottom w:w="80" w:type="dxa"/>
              <w:end w:w="120" w:type="dxa"/>
            </w:tcMar>
          </w:tcPr>
          <w:p>
            <w:pPr>
              <w:spacing w:after="0"/>
            </w:pPr>
            <w:r>
              <w:rPr>
                <w:rFonts w:ascii="Calibri" w:hAnsi="Calibri"/>
                <w:b w:val="0"/>
                <w:i w:val="0"/>
                <w:color w:val="2F4F57"/>
                <w:sz w:val="18"/>
              </w:rPr>
              <w:t>3</w:t>
            </w:r>
          </w:p>
        </w:tc>
        <w:tc>
          <w:tcPr>
            <w:tcW w:type="dxa" w:w="3200"/>
            <w:vAlign w:val="center"/>
            <w:tcMar>
              <w:top w:w="80" w:type="dxa"/>
              <w:start w:w="120" w:type="dxa"/>
              <w:bottom w:w="80" w:type="dxa"/>
              <w:end w:w="120" w:type="dxa"/>
            </w:tcMar>
          </w:tcPr>
          <w:p>
            <w:pPr>
              <w:spacing w:after="0"/>
            </w:pPr>
            <w:r>
              <w:rPr>
                <w:rFonts w:ascii="Calibri" w:hAnsi="Calibri"/>
                <w:b w:val="0"/>
                <w:i w:val="0"/>
                <w:color w:val="2F4F57"/>
                <w:sz w:val="18"/>
              </w:rPr>
              <w:t>Data Processing Addendum</w:t>
            </w:r>
          </w:p>
        </w:tc>
        <w:tc>
          <w:tcPr>
            <w:tcW w:type="dxa" w:w="4910"/>
            <w:vAlign w:val="center"/>
            <w:tcMar>
              <w:top w:w="80" w:type="dxa"/>
              <w:start w:w="120" w:type="dxa"/>
              <w:bottom w:w="80" w:type="dxa"/>
              <w:end w:w="120" w:type="dxa"/>
            </w:tcMar>
          </w:tcPr>
          <w:p>
            <w:pPr>
              <w:spacing w:after="0"/>
            </w:pPr>
            <w:r>
              <w:rPr>
                <w:rFonts w:ascii="Calibri" w:hAnsi="Calibri"/>
                <w:b w:val="0"/>
                <w:i w:val="0"/>
                <w:color w:val="2F4F57"/>
                <w:sz w:val="18"/>
              </w:rPr>
              <w:t>Personal Data processing and privacy obligations</w:t>
            </w:r>
          </w:p>
        </w:tc>
      </w:tr>
      <w:tr>
        <w:tc>
          <w:tcPr>
            <w:tcW w:type="dxa" w:w="1250"/>
            <w:vAlign w:val="center"/>
            <w:tcMar>
              <w:top w:w="80" w:type="dxa"/>
              <w:start w:w="120" w:type="dxa"/>
              <w:bottom w:w="80" w:type="dxa"/>
              <w:end w:w="120" w:type="dxa"/>
            </w:tcMar>
          </w:tcPr>
          <w:p>
            <w:pPr>
              <w:spacing w:after="0"/>
            </w:pPr>
            <w:r>
              <w:rPr>
                <w:rFonts w:ascii="Calibri" w:hAnsi="Calibri"/>
                <w:b w:val="0"/>
                <w:i w:val="0"/>
                <w:color w:val="2F4F57"/>
                <w:sz w:val="18"/>
              </w:rPr>
              <w:t>4</w:t>
            </w:r>
          </w:p>
        </w:tc>
        <w:tc>
          <w:tcPr>
            <w:tcW w:type="dxa" w:w="3200"/>
            <w:vAlign w:val="center"/>
            <w:tcMar>
              <w:top w:w="80" w:type="dxa"/>
              <w:start w:w="120" w:type="dxa"/>
              <w:bottom w:w="80" w:type="dxa"/>
              <w:end w:w="120" w:type="dxa"/>
            </w:tcMar>
          </w:tcPr>
          <w:p>
            <w:pPr>
              <w:spacing w:after="0"/>
            </w:pPr>
            <w:r>
              <w:rPr>
                <w:rFonts w:ascii="Calibri" w:hAnsi="Calibri"/>
                <w:b w:val="0"/>
                <w:i w:val="0"/>
                <w:color w:val="2F4F57"/>
                <w:sz w:val="18"/>
              </w:rPr>
              <w:t>Security, solution and service schedules</w:t>
            </w:r>
          </w:p>
        </w:tc>
        <w:tc>
          <w:tcPr>
            <w:tcW w:type="dxa" w:w="4910"/>
            <w:vAlign w:val="center"/>
            <w:tcMar>
              <w:top w:w="80" w:type="dxa"/>
              <w:start w:w="120" w:type="dxa"/>
              <w:bottom w:w="80" w:type="dxa"/>
              <w:end w:w="120" w:type="dxa"/>
            </w:tcMar>
          </w:tcPr>
          <w:p>
            <w:pPr>
              <w:spacing w:after="0"/>
            </w:pPr>
            <w:r>
              <w:rPr>
                <w:rFonts w:ascii="Calibri" w:hAnsi="Calibri"/>
                <w:b w:val="0"/>
                <w:i w:val="0"/>
                <w:color w:val="2F4F57"/>
                <w:sz w:val="18"/>
              </w:rPr>
              <w:t>Deployment-specific controls and service commitments</w:t>
            </w:r>
          </w:p>
        </w:tc>
      </w:tr>
      <w:tr>
        <w:tc>
          <w:tcPr>
            <w:tcW w:type="dxa" w:w="1250"/>
            <w:vAlign w:val="center"/>
            <w:tcMar>
              <w:top w:w="80" w:type="dxa"/>
              <w:start w:w="120" w:type="dxa"/>
              <w:bottom w:w="80" w:type="dxa"/>
              <w:end w:w="120" w:type="dxa"/>
            </w:tcMar>
          </w:tcPr>
          <w:p>
            <w:pPr>
              <w:spacing w:after="0"/>
            </w:pPr>
            <w:r>
              <w:rPr>
                <w:rFonts w:ascii="Calibri" w:hAnsi="Calibri"/>
                <w:b w:val="0"/>
                <w:i w:val="0"/>
                <w:color w:val="2F4F57"/>
                <w:sz w:val="18"/>
              </w:rPr>
              <w:t>5</w:t>
            </w:r>
          </w:p>
        </w:tc>
        <w:tc>
          <w:tcPr>
            <w:tcW w:type="dxa" w:w="3200"/>
            <w:vAlign w:val="center"/>
            <w:tcMar>
              <w:top w:w="80" w:type="dxa"/>
              <w:start w:w="120" w:type="dxa"/>
              <w:bottom w:w="80" w:type="dxa"/>
              <w:end w:w="120" w:type="dxa"/>
            </w:tcMar>
          </w:tcPr>
          <w:p>
            <w:pPr>
              <w:spacing w:after="0"/>
            </w:pPr>
            <w:r>
              <w:rPr>
                <w:rFonts w:ascii="Calibri" w:hAnsi="Calibri"/>
                <w:b w:val="0"/>
                <w:i w:val="0"/>
                <w:color w:val="2F4F57"/>
                <w:sz w:val="18"/>
              </w:rPr>
              <w:t>These Terms</w:t>
            </w:r>
          </w:p>
        </w:tc>
        <w:tc>
          <w:tcPr>
            <w:tcW w:type="dxa" w:w="4910"/>
            <w:vAlign w:val="center"/>
            <w:tcMar>
              <w:top w:w="80" w:type="dxa"/>
              <w:start w:w="120" w:type="dxa"/>
              <w:bottom w:w="80" w:type="dxa"/>
              <w:end w:w="120" w:type="dxa"/>
            </w:tcMar>
          </w:tcPr>
          <w:p>
            <w:pPr>
              <w:spacing w:after="0"/>
            </w:pPr>
            <w:r>
              <w:rPr>
                <w:rFonts w:ascii="Calibri" w:hAnsi="Calibri"/>
                <w:b w:val="0"/>
                <w:i w:val="0"/>
                <w:color w:val="2F4F57"/>
                <w:sz w:val="18"/>
              </w:rPr>
              <w:t>General service framework</w:t>
            </w:r>
          </w:p>
        </w:tc>
      </w:tr>
      <w:tr>
        <w:tc>
          <w:tcPr>
            <w:tcW w:type="dxa" w:w="1250"/>
            <w:vAlign w:val="center"/>
            <w:tcMar>
              <w:top w:w="80" w:type="dxa"/>
              <w:start w:w="120" w:type="dxa"/>
              <w:bottom w:w="80" w:type="dxa"/>
              <w:end w:w="120" w:type="dxa"/>
            </w:tcMar>
          </w:tcPr>
          <w:p>
            <w:pPr>
              <w:spacing w:after="0"/>
            </w:pPr>
            <w:r>
              <w:rPr>
                <w:rFonts w:ascii="Calibri" w:hAnsi="Calibri"/>
                <w:b w:val="0"/>
                <w:i w:val="0"/>
                <w:color w:val="2F4F57"/>
                <w:sz w:val="18"/>
              </w:rPr>
              <w:t>6</w:t>
            </w:r>
          </w:p>
        </w:tc>
        <w:tc>
          <w:tcPr>
            <w:tcW w:type="dxa" w:w="3200"/>
            <w:vAlign w:val="center"/>
            <w:tcMar>
              <w:top w:w="80" w:type="dxa"/>
              <w:start w:w="120" w:type="dxa"/>
              <w:bottom w:w="80" w:type="dxa"/>
              <w:end w:w="120" w:type="dxa"/>
            </w:tcMar>
          </w:tcPr>
          <w:p>
            <w:pPr>
              <w:spacing w:after="0"/>
            </w:pPr>
            <w:r>
              <w:rPr>
                <w:rFonts w:ascii="Calibri" w:hAnsi="Calibri"/>
                <w:b w:val="0"/>
                <w:i w:val="0"/>
                <w:color w:val="2F4F57"/>
                <w:sz w:val="18"/>
              </w:rPr>
              <w:t>Documentation</w:t>
            </w:r>
          </w:p>
        </w:tc>
        <w:tc>
          <w:tcPr>
            <w:tcW w:type="dxa" w:w="4910"/>
            <w:vAlign w:val="center"/>
            <w:tcMar>
              <w:top w:w="80" w:type="dxa"/>
              <w:start w:w="120" w:type="dxa"/>
              <w:bottom w:w="80" w:type="dxa"/>
              <w:end w:w="120" w:type="dxa"/>
            </w:tcMar>
          </w:tcPr>
          <w:p>
            <w:pPr>
              <w:spacing w:after="0"/>
            </w:pPr>
            <w:r>
              <w:rPr>
                <w:rFonts w:ascii="Calibri" w:hAnsi="Calibri"/>
                <w:b w:val="0"/>
                <w:i w:val="0"/>
                <w:color w:val="2F4F57"/>
                <w:sz w:val="18"/>
              </w:rPr>
              <w:t>Operational guidance and specifications</w:t>
            </w:r>
          </w:p>
        </w:tc>
      </w:tr>
    </w:tbl>
    <w:p>
      <w:pPr>
        <w:pStyle w:val="Heading1"/>
        <w:numPr>
          <w:ilvl w:val="0"/>
          <w:numId w:val="12"/>
        </w:numPr>
      </w:pPr>
      <w:r>
        <w:rPr>
          <w:rFonts w:ascii="Calibri" w:hAnsi="Calibri"/>
          <w:b/>
          <w:i w:val="0"/>
          <w:color w:val="09A0B3"/>
          <w:sz w:val="32"/>
        </w:rPr>
        <w:t>Definitions</w:t>
      </w:r>
    </w:p>
    <w:p>
      <w:pPr>
        <w:spacing w:after="160" w:line="280" w:lineRule="auto"/>
        <w:numPr>
          <w:ilvl w:val="0"/>
          <w:numId w:val="10"/>
        </w:numPr>
      </w:pPr>
      <w:r>
        <w:rPr>
          <w:rFonts w:ascii="Calibri" w:hAnsi="Calibri"/>
          <w:b w:val="0"/>
          <w:i w:val="0"/>
          <w:color w:val="2F4F57"/>
          <w:sz w:val="22"/>
        </w:rPr>
        <w:t>Authorized User means an individual the Customer permits to access the Services under its account.</w:t>
      </w:r>
    </w:p>
    <w:p>
      <w:pPr>
        <w:spacing w:after="160" w:line="280" w:lineRule="auto"/>
        <w:numPr>
          <w:ilvl w:val="0"/>
          <w:numId w:val="10"/>
        </w:numPr>
      </w:pPr>
      <w:r>
        <w:rPr>
          <w:rFonts w:ascii="Calibri" w:hAnsi="Calibri"/>
          <w:b w:val="0"/>
          <w:i w:val="0"/>
          <w:color w:val="2F4F57"/>
          <w:sz w:val="22"/>
        </w:rPr>
        <w:t>Customer Data means information, content and records submitted to, collected through or generated from the Services for the Customer, excluding Aries AI technology and aggregated data that does not identify the Customer or an individual.</w:t>
      </w:r>
    </w:p>
    <w:p>
      <w:pPr>
        <w:spacing w:after="160" w:line="280" w:lineRule="auto"/>
        <w:numPr>
          <w:ilvl w:val="0"/>
          <w:numId w:val="10"/>
        </w:numPr>
      </w:pPr>
      <w:r>
        <w:rPr>
          <w:rFonts w:ascii="Calibri" w:hAnsi="Calibri"/>
          <w:b w:val="0"/>
          <w:i w:val="0"/>
          <w:color w:val="2F4F57"/>
          <w:sz w:val="22"/>
        </w:rPr>
        <w:t>Documentation means current user, technical and operational materials made available by Aries AI for the Services.</w:t>
      </w:r>
    </w:p>
    <w:p>
      <w:pPr>
        <w:spacing w:after="160" w:line="280" w:lineRule="auto"/>
        <w:numPr>
          <w:ilvl w:val="0"/>
          <w:numId w:val="10"/>
        </w:numPr>
      </w:pPr>
      <w:r>
        <w:rPr>
          <w:rFonts w:ascii="Calibri" w:hAnsi="Calibri"/>
          <w:b w:val="0"/>
          <w:i w:val="0"/>
          <w:color w:val="2F4F57"/>
          <w:sz w:val="22"/>
        </w:rPr>
        <w:t>Order Form means an ordering document, proposal or statement of work accepted by both parties that identifies the Services, term, fees and deployment.</w:t>
      </w:r>
    </w:p>
    <w:p>
      <w:pPr>
        <w:spacing w:after="160" w:line="280" w:lineRule="auto"/>
        <w:numPr>
          <w:ilvl w:val="0"/>
          <w:numId w:val="10"/>
        </w:numPr>
      </w:pPr>
      <w:r>
        <w:rPr>
          <w:rFonts w:ascii="Calibri" w:hAnsi="Calibri"/>
          <w:b w:val="0"/>
          <w:i w:val="0"/>
          <w:color w:val="2F4F57"/>
          <w:sz w:val="22"/>
        </w:rPr>
        <w:t>Services means Aries Reach and any related implementation, support or professional services described in an Order Form.</w:t>
      </w:r>
    </w:p>
    <w:p>
      <w:pPr>
        <w:pStyle w:val="Heading1"/>
        <w:numPr>
          <w:ilvl w:val="0"/>
          <w:numId w:val="12"/>
        </w:numPr>
      </w:pPr>
      <w:r>
        <w:rPr>
          <w:rFonts w:ascii="Calibri" w:hAnsi="Calibri"/>
          <w:b/>
          <w:i w:val="0"/>
          <w:color w:val="09A0B3"/>
          <w:sz w:val="32"/>
        </w:rPr>
        <w:t>Access, accounts and administrators</w:t>
      </w:r>
    </w:p>
    <w:p>
      <w:r>
        <w:rPr>
          <w:rFonts w:ascii="Calibri" w:hAnsi="Calibri"/>
          <w:b w:val="0"/>
          <w:i w:val="0"/>
          <w:color w:val="2F4F57"/>
          <w:sz w:val="22"/>
        </w:rPr>
        <w:t>Aries AI grants the Customer a limited, non-exclusive, non-transferable right during the subscription term for Authorized Users to access and use the Services for the Customer’s internal business purposes and the permitted use cases in the Order Form. The Customer controls its administrators, users, roles, permissions, configurations and integrations.</w:t>
      </w:r>
    </w:p>
    <w:p>
      <w:r>
        <w:rPr>
          <w:rFonts w:ascii="Calibri" w:hAnsi="Calibri"/>
          <w:b w:val="0"/>
          <w:i w:val="0"/>
          <w:color w:val="2F4F57"/>
          <w:sz w:val="22"/>
        </w:rPr>
        <w:t>The Customer will protect credentials, use reasonable account security, keep account information accurate and promptly notify Aries AI of suspected unauthorized access. An Authorized User may not share a personal account except where Documentation expressly supports a shared or service identity.</w:t>
      </w:r>
    </w:p>
    <w:p>
      <w:pPr>
        <w:pStyle w:val="Heading1"/>
        <w:numPr>
          <w:ilvl w:val="0"/>
          <w:numId w:val="12"/>
        </w:numPr>
      </w:pPr>
      <w:r>
        <w:rPr>
          <w:rFonts w:ascii="Calibri" w:hAnsi="Calibri"/>
          <w:b/>
          <w:i w:val="0"/>
          <w:color w:val="09A0B3"/>
          <w:sz w:val="32"/>
        </w:rPr>
        <w:t>Customer responsibilities</w:t>
      </w:r>
    </w:p>
    <w:p>
      <w:pPr>
        <w:spacing w:after="160" w:line="280" w:lineRule="auto"/>
        <w:numPr>
          <w:ilvl w:val="0"/>
          <w:numId w:val="10"/>
        </w:numPr>
      </w:pPr>
      <w:r>
        <w:rPr>
          <w:rFonts w:ascii="Calibri" w:hAnsi="Calibri"/>
          <w:b w:val="0"/>
          <w:i w:val="0"/>
          <w:color w:val="2F4F57"/>
          <w:sz w:val="22"/>
        </w:rPr>
        <w:t>Provide timely cooperation, decisions, access, systems information and appropriately skilled contacts needed for implementation and support.</w:t>
      </w:r>
    </w:p>
    <w:p>
      <w:pPr>
        <w:spacing w:after="160" w:line="280" w:lineRule="auto"/>
        <w:numPr>
          <w:ilvl w:val="0"/>
          <w:numId w:val="10"/>
        </w:numPr>
      </w:pPr>
      <w:r>
        <w:rPr>
          <w:rFonts w:ascii="Calibri" w:hAnsi="Calibri"/>
          <w:b w:val="0"/>
          <w:i w:val="0"/>
          <w:color w:val="2F4F57"/>
          <w:sz w:val="22"/>
        </w:rPr>
        <w:t>Ensure Customer Data, collection channels, stakeholder notices, instructions, use cases and configurations are lawful, accurate and within the agreed scope.</w:t>
      </w:r>
    </w:p>
    <w:p>
      <w:pPr>
        <w:spacing w:after="160" w:line="280" w:lineRule="auto"/>
        <w:numPr>
          <w:ilvl w:val="0"/>
          <w:numId w:val="10"/>
        </w:numPr>
      </w:pPr>
      <w:r>
        <w:rPr>
          <w:rFonts w:ascii="Calibri" w:hAnsi="Calibri"/>
          <w:b w:val="0"/>
          <w:i w:val="0"/>
          <w:color w:val="2F4F57"/>
          <w:sz w:val="22"/>
        </w:rPr>
        <w:t>Obtain necessary rights, permissions, consents and authorizations for Customer Data and Customer-selected integrations.</w:t>
      </w:r>
    </w:p>
    <w:p>
      <w:pPr>
        <w:spacing w:after="160" w:line="280" w:lineRule="auto"/>
        <w:numPr>
          <w:ilvl w:val="0"/>
          <w:numId w:val="10"/>
        </w:numPr>
      </w:pPr>
      <w:r>
        <w:rPr>
          <w:rFonts w:ascii="Calibri" w:hAnsi="Calibri"/>
          <w:b w:val="0"/>
          <w:i w:val="0"/>
          <w:color w:val="2F4F57"/>
          <w:sz w:val="22"/>
        </w:rPr>
        <w:t>Apply appropriate human review, professional judgment and governance before acting on AI-enabled outputs, recommendations or classifications.</w:t>
      </w:r>
    </w:p>
    <w:p>
      <w:pPr>
        <w:spacing w:after="160" w:line="280" w:lineRule="auto"/>
        <w:numPr>
          <w:ilvl w:val="0"/>
          <w:numId w:val="10"/>
        </w:numPr>
      </w:pPr>
      <w:r>
        <w:rPr>
          <w:rFonts w:ascii="Calibri" w:hAnsi="Calibri"/>
          <w:b w:val="0"/>
          <w:i w:val="0"/>
          <w:color w:val="2F4F57"/>
          <w:sz w:val="22"/>
        </w:rPr>
        <w:t>Maintain the infrastructure, endpoints and controls allocated to the Customer in the applicable deployment responsibility schedule.</w:t>
      </w:r>
    </w:p>
    <w:p>
      <w:pPr>
        <w:pStyle w:val="Heading1"/>
        <w:numPr>
          <w:ilvl w:val="0"/>
          <w:numId w:val="12"/>
        </w:numPr>
      </w:pPr>
      <w:r>
        <w:rPr>
          <w:rFonts w:ascii="Calibri" w:hAnsi="Calibri"/>
          <w:b/>
          <w:i w:val="0"/>
          <w:color w:val="09A0B3"/>
          <w:sz w:val="32"/>
        </w:rPr>
        <w:t>Acceptable use</w:t>
      </w:r>
    </w:p>
    <w:p>
      <w:r>
        <w:rPr>
          <w:rFonts w:ascii="Calibri" w:hAnsi="Calibri"/>
          <w:b w:val="0"/>
          <w:i w:val="0"/>
          <w:color w:val="2F4F57"/>
          <w:sz w:val="22"/>
        </w:rPr>
        <w:t>The Customer and Authorized Users will not use the Services to:</w:t>
      </w:r>
    </w:p>
    <w:p>
      <w:pPr>
        <w:spacing w:after="160" w:line="280" w:lineRule="auto"/>
        <w:numPr>
          <w:ilvl w:val="0"/>
          <w:numId w:val="10"/>
        </w:numPr>
      </w:pPr>
      <w:r>
        <w:rPr>
          <w:rFonts w:ascii="Calibri" w:hAnsi="Calibri"/>
          <w:b w:val="0"/>
          <w:i w:val="0"/>
          <w:color w:val="2F4F57"/>
          <w:sz w:val="22"/>
        </w:rPr>
        <w:t>Violate law, third-party rights, confidentiality duties, privacy obligations or binding regulatory requirements.</w:t>
      </w:r>
    </w:p>
    <w:p>
      <w:pPr>
        <w:spacing w:after="160" w:line="280" w:lineRule="auto"/>
        <w:numPr>
          <w:ilvl w:val="0"/>
          <w:numId w:val="10"/>
        </w:numPr>
      </w:pPr>
      <w:r>
        <w:rPr>
          <w:rFonts w:ascii="Calibri" w:hAnsi="Calibri"/>
          <w:b w:val="0"/>
          <w:i w:val="0"/>
          <w:color w:val="2F4F57"/>
          <w:sz w:val="22"/>
        </w:rPr>
        <w:t>Upload malware, probe or bypass security, disrupt service availability or obtain unauthorized access to accounts, systems or data.</w:t>
      </w:r>
    </w:p>
    <w:p>
      <w:pPr>
        <w:spacing w:after="160" w:line="280" w:lineRule="auto"/>
        <w:numPr>
          <w:ilvl w:val="0"/>
          <w:numId w:val="10"/>
        </w:numPr>
      </w:pPr>
      <w:r>
        <w:rPr>
          <w:rFonts w:ascii="Calibri" w:hAnsi="Calibri"/>
          <w:b w:val="0"/>
          <w:i w:val="0"/>
          <w:color w:val="2F4F57"/>
          <w:sz w:val="22"/>
        </w:rPr>
        <w:t>Submit payment-card numbers, passwords, authentication secrets or similarly high-risk credentials into feedback, recordings, prompts or notes unless the applicable solution design expressly permits and protects them.</w:t>
      </w:r>
    </w:p>
    <w:p>
      <w:pPr>
        <w:spacing w:after="160" w:line="280" w:lineRule="auto"/>
        <w:numPr>
          <w:ilvl w:val="0"/>
          <w:numId w:val="10"/>
        </w:numPr>
      </w:pPr>
      <w:r>
        <w:rPr>
          <w:rFonts w:ascii="Calibri" w:hAnsi="Calibri"/>
          <w:b w:val="0"/>
          <w:i w:val="0"/>
          <w:color w:val="2F4F57"/>
          <w:sz w:val="22"/>
        </w:rPr>
        <w:t>Reverse engineer or attempt to extract source code, models or non-public system components, except to the extent the restriction is prohibited by applicable law.</w:t>
      </w:r>
    </w:p>
    <w:p>
      <w:pPr>
        <w:spacing w:after="160" w:line="280" w:lineRule="auto"/>
        <w:numPr>
          <w:ilvl w:val="0"/>
          <w:numId w:val="10"/>
        </w:numPr>
      </w:pPr>
      <w:r>
        <w:rPr>
          <w:rFonts w:ascii="Calibri" w:hAnsi="Calibri"/>
          <w:b w:val="0"/>
          <w:i w:val="0"/>
          <w:color w:val="2F4F57"/>
          <w:sz w:val="22"/>
        </w:rPr>
        <w:t>Use the Services to create or facilitate unlawful discrimination, harassment, exploitation, deception, surveillance or solely automated decisions producing legal or similarly significant effects without appropriate safeguards.</w:t>
      </w:r>
    </w:p>
    <w:p>
      <w:pPr>
        <w:spacing w:after="160" w:line="280" w:lineRule="auto"/>
        <w:numPr>
          <w:ilvl w:val="0"/>
          <w:numId w:val="10"/>
        </w:numPr>
      </w:pPr>
      <w:r>
        <w:rPr>
          <w:rFonts w:ascii="Calibri" w:hAnsi="Calibri"/>
          <w:b w:val="0"/>
          <w:i w:val="0"/>
          <w:color w:val="2F4F57"/>
          <w:sz w:val="22"/>
        </w:rPr>
        <w:t>Resell, sublicense or provide the Services as a standalone service bureau unless the Order Form expressly authorizes it.</w:t>
      </w:r>
    </w:p>
    <w:p>
      <w:pPr>
        <w:pStyle w:val="Heading1"/>
        <w:numPr>
          <w:ilvl w:val="0"/>
          <w:numId w:val="12"/>
        </w:numPr>
      </w:pPr>
      <w:r>
        <w:rPr>
          <w:rFonts w:ascii="Calibri" w:hAnsi="Calibri"/>
          <w:b/>
          <w:i w:val="0"/>
          <w:color w:val="09A0B3"/>
          <w:sz w:val="32"/>
        </w:rPr>
        <w:t>Service delivery and change management</w:t>
      </w:r>
    </w:p>
    <w:p>
      <w:r>
        <w:rPr>
          <w:rFonts w:ascii="Calibri" w:hAnsi="Calibri"/>
          <w:b w:val="0"/>
          <w:i w:val="0"/>
          <w:color w:val="2F4F57"/>
          <w:sz w:val="22"/>
        </w:rPr>
        <w:t>Aries AI will provide the Services materially in accordance with the Agreement and Documentation, using appropriately skilled personnel and reasonable professional care. Deployment scope, implementation activities, support channels, service levels and acceptance criteria are defined in the Order Form or applicable schedule.</w:t>
      </w:r>
    </w:p>
    <w:p>
      <w:r>
        <w:rPr>
          <w:rFonts w:ascii="Calibri" w:hAnsi="Calibri"/>
          <w:b w:val="0"/>
          <w:i w:val="0"/>
          <w:color w:val="2F4F57"/>
          <w:sz w:val="22"/>
        </w:rPr>
        <w:t>Aries AI may improve or modify the Services. During an active subscription, Aries AI will not materially reduce the core contracted functionality without reasonable prior notice and, where practicable, an alternative or transition path. Emergency, security or legally required changes may be implemented sooner.</w:t>
      </w:r>
    </w:p>
    <w:p>
      <w:pPr>
        <w:pStyle w:val="Heading1"/>
        <w:numPr>
          <w:ilvl w:val="0"/>
          <w:numId w:val="12"/>
        </w:numPr>
      </w:pPr>
      <w:r>
        <w:rPr>
          <w:rFonts w:ascii="Calibri" w:hAnsi="Calibri"/>
          <w:b/>
          <w:i w:val="0"/>
          <w:color w:val="09A0B3"/>
          <w:sz w:val="32"/>
        </w:rPr>
        <w:t>AI-enabled functionality</w:t>
      </w:r>
    </w:p>
    <w:p>
      <w:r>
        <w:rPr>
          <w:rFonts w:ascii="Calibri" w:hAnsi="Calibri"/>
          <w:b w:val="0"/>
          <w:i w:val="0"/>
          <w:color w:val="2F4F57"/>
          <w:sz w:val="22"/>
        </w:rPr>
        <w:t>Reach may perform transcription, language detection, translation, classification, topic and sentiment analysis, summarization, materiality indicators, routing recommendations, trend detection and report generation. AI outputs are probabilistic and may be incomplete, inaccurate or unsuitable for a particular purpose.</w:t>
      </w:r>
    </w:p>
    <w:p>
      <w:pPr>
        <w:spacing w:after="160" w:line="280" w:lineRule="auto"/>
        <w:numPr>
          <w:ilvl w:val="0"/>
          <w:numId w:val="10"/>
        </w:numPr>
      </w:pPr>
      <w:r>
        <w:rPr>
          <w:rFonts w:ascii="Calibri" w:hAnsi="Calibri"/>
          <w:b w:val="0"/>
          <w:i w:val="0"/>
          <w:color w:val="2F4F57"/>
          <w:sz w:val="22"/>
        </w:rPr>
        <w:t>The Customer remains responsible for decisions and actions taken from an AI output.</w:t>
      </w:r>
    </w:p>
    <w:p>
      <w:pPr>
        <w:spacing w:after="160" w:line="280" w:lineRule="auto"/>
        <w:numPr>
          <w:ilvl w:val="0"/>
          <w:numId w:val="10"/>
        </w:numPr>
      </w:pPr>
      <w:r>
        <w:rPr>
          <w:rFonts w:ascii="Calibri" w:hAnsi="Calibri"/>
          <w:b w:val="0"/>
          <w:i w:val="0"/>
          <w:color w:val="2F4F57"/>
          <w:sz w:val="22"/>
        </w:rPr>
        <w:t>Consequential decisions require proportionate human review and any legally required process, notice or appeal route.</w:t>
      </w:r>
    </w:p>
    <w:p>
      <w:pPr>
        <w:spacing w:after="160" w:line="280" w:lineRule="auto"/>
        <w:numPr>
          <w:ilvl w:val="0"/>
          <w:numId w:val="10"/>
        </w:numPr>
      </w:pPr>
      <w:r>
        <w:rPr>
          <w:rFonts w:ascii="Calibri" w:hAnsi="Calibri"/>
          <w:b w:val="0"/>
          <w:i w:val="0"/>
          <w:color w:val="2F4F57"/>
          <w:sz w:val="22"/>
        </w:rPr>
        <w:t>The Services are not a substitute for legal, medical, financial, safety-critical or other regulated professional advice.</w:t>
      </w:r>
    </w:p>
    <w:p>
      <w:pPr>
        <w:spacing w:after="160" w:line="280" w:lineRule="auto"/>
        <w:numPr>
          <w:ilvl w:val="0"/>
          <w:numId w:val="10"/>
        </w:numPr>
      </w:pPr>
      <w:r>
        <w:rPr>
          <w:rFonts w:ascii="Calibri" w:hAnsi="Calibri"/>
          <w:b w:val="0"/>
          <w:i w:val="0"/>
          <w:color w:val="2F4F57"/>
          <w:sz w:val="22"/>
        </w:rPr>
        <w:t>Aries AI will not use Customer Personal Data to train generalized models for unrelated customers unless the Agreement expressly states otherwise or the Customer authorizes it in writing.</w:t>
      </w:r>
    </w:p>
    <w:p>
      <w:pPr>
        <w:pStyle w:val="Heading1"/>
        <w:numPr>
          <w:ilvl w:val="0"/>
          <w:numId w:val="12"/>
        </w:numPr>
      </w:pPr>
      <w:r>
        <w:rPr>
          <w:rFonts w:ascii="Calibri" w:hAnsi="Calibri"/>
          <w:b/>
          <w:i w:val="0"/>
          <w:color w:val="09A0B3"/>
          <w:sz w:val="32"/>
        </w:rPr>
        <w:t>Customer Data and privacy</w:t>
      </w:r>
    </w:p>
    <w:p>
      <w:r>
        <w:rPr>
          <w:rFonts w:ascii="Calibri" w:hAnsi="Calibri"/>
          <w:b w:val="0"/>
          <w:i w:val="0"/>
          <w:color w:val="2F4F57"/>
          <w:sz w:val="22"/>
        </w:rPr>
        <w:t>As between the parties, the Customer retains all rights in Customer Data. The Customer authorizes Aries AI to host, copy, transmit, transform, analyze and otherwise process Customer Data only as necessary to provide, secure, support and improve the contracted Services, comply with documented instructions and perform the Agreement.</w:t>
      </w:r>
    </w:p>
    <w:p>
      <w:r>
        <w:rPr>
          <w:rFonts w:ascii="Calibri" w:hAnsi="Calibri"/>
          <w:b w:val="0"/>
          <w:i w:val="0"/>
          <w:color w:val="2F4F57"/>
          <w:sz w:val="22"/>
        </w:rPr>
        <w:t>Where Aries AI processes Personal Data on the Customer’s behalf, the DPA applies. Aries AI’s independent processing for websites, demos, account administration and its own business operations is described in the Aries Reach Enterprise Privacy Policy.</w:t>
      </w:r>
    </w:p>
    <w:p>
      <w:pPr>
        <w:pStyle w:val="Heading1"/>
        <w:numPr>
          <w:ilvl w:val="0"/>
          <w:numId w:val="12"/>
        </w:numPr>
      </w:pPr>
      <w:r>
        <w:rPr>
          <w:rFonts w:ascii="Calibri" w:hAnsi="Calibri"/>
          <w:b/>
          <w:i w:val="0"/>
          <w:color w:val="09A0B3"/>
          <w:sz w:val="32"/>
        </w:rPr>
        <w:t>Aggregated service intelligence</w:t>
      </w:r>
    </w:p>
    <w:p>
      <w:r>
        <w:rPr>
          <w:rFonts w:ascii="Calibri" w:hAnsi="Calibri"/>
          <w:b w:val="0"/>
          <w:i w:val="0"/>
          <w:color w:val="2F4F57"/>
          <w:sz w:val="22"/>
        </w:rPr>
        <w:t>Aries AI may create and use aggregated or de-identified information for security, capacity planning, service reliability, analytics and improvement, provided the information does not identify the Customer, an Authorized User or another individual and Aries AI does not attempt to re-identify it.</w:t>
      </w:r>
    </w:p>
    <w:p>
      <w:pPr>
        <w:pStyle w:val="Heading1"/>
        <w:numPr>
          <w:ilvl w:val="0"/>
          <w:numId w:val="12"/>
        </w:numPr>
      </w:pPr>
      <w:r>
        <w:rPr>
          <w:rFonts w:ascii="Calibri" w:hAnsi="Calibri"/>
          <w:b/>
          <w:i w:val="0"/>
          <w:color w:val="09A0B3"/>
          <w:sz w:val="32"/>
        </w:rPr>
        <w:t>Third-party services and integrations</w:t>
      </w:r>
    </w:p>
    <w:p>
      <w:r>
        <w:rPr>
          <w:rFonts w:ascii="Calibri" w:hAnsi="Calibri"/>
          <w:b w:val="0"/>
          <w:i w:val="0"/>
          <w:color w:val="2F4F57"/>
          <w:sz w:val="22"/>
        </w:rPr>
        <w:t>The Customer may enable third-party identity, CRM, ticketing, messaging, analytics, payment or other services. A third party’s products remain subject to its own terms, security and privacy practices. Aries AI is responsible for an integration only to the extent described in the Agreement and is not responsible for changes, outages or acts of a third-party service outside Aries AI’s reasonable control.</w:t>
      </w:r>
    </w:p>
    <w:p>
      <w:pPr>
        <w:pStyle w:val="Heading1"/>
        <w:numPr>
          <w:ilvl w:val="0"/>
          <w:numId w:val="12"/>
        </w:numPr>
      </w:pPr>
      <w:r>
        <w:rPr>
          <w:rFonts w:ascii="Calibri" w:hAnsi="Calibri"/>
          <w:b/>
          <w:i w:val="0"/>
          <w:color w:val="09A0B3"/>
          <w:sz w:val="32"/>
        </w:rPr>
        <w:t>Fees, invoices and taxes</w:t>
      </w:r>
    </w:p>
    <w:p>
      <w:r>
        <w:rPr>
          <w:rFonts w:ascii="Calibri" w:hAnsi="Calibri"/>
          <w:b w:val="0"/>
          <w:i w:val="0"/>
          <w:color w:val="2F4F57"/>
          <w:sz w:val="22"/>
        </w:rPr>
        <w:t>Fees, currencies, billing schedules, usage limits, payment terms and permitted expenses are stated in the Order Form. Unless the Order Form states otherwise, undisputed invoices are due within 30 days. Fees exclude applicable taxes, duties and levies, which the Customer will pay other than taxes based on Aries AI’s net income.</w:t>
      </w:r>
    </w:p>
    <w:p>
      <w:r>
        <w:rPr>
          <w:rFonts w:ascii="Calibri" w:hAnsi="Calibri"/>
          <w:b w:val="0"/>
          <w:i w:val="0"/>
          <w:color w:val="2F4F57"/>
          <w:sz w:val="22"/>
        </w:rPr>
        <w:t>The Customer must raise a good-faith invoice dispute with reasonable detail before the payment due date where practicable. The parties will work promptly to resolve it, and the Customer will pay undisputed amounts when due. Late payment remedies apply only to undisputed overdue amounts and are subject to applicable law.</w:t>
      </w:r>
    </w:p>
    <w:p>
      <w:pPr>
        <w:pStyle w:val="Heading1"/>
        <w:numPr>
          <w:ilvl w:val="0"/>
          <w:numId w:val="12"/>
        </w:numPr>
      </w:pPr>
      <w:r>
        <w:rPr>
          <w:rFonts w:ascii="Calibri" w:hAnsi="Calibri"/>
          <w:b/>
          <w:i w:val="0"/>
          <w:color w:val="09A0B3"/>
          <w:sz w:val="32"/>
        </w:rPr>
        <w:t>Subscription term and renewal</w:t>
      </w:r>
    </w:p>
    <w:p>
      <w:r>
        <w:rPr>
          <w:rFonts w:ascii="Calibri" w:hAnsi="Calibri"/>
          <w:b w:val="0"/>
          <w:i w:val="0"/>
          <w:color w:val="2F4F57"/>
          <w:sz w:val="22"/>
        </w:rPr>
        <w:t>The subscription begins and continues for the term stated in the Order Form. Renewal, notice periods and any price adjustment are governed by the Order Form. If the Order Form is silent, the subscription does not automatically renew; continued service requires a new or extended written order.</w:t>
      </w:r>
    </w:p>
    <w:p>
      <w:pPr>
        <w:pStyle w:val="Heading1"/>
        <w:numPr>
          <w:ilvl w:val="0"/>
          <w:numId w:val="12"/>
        </w:numPr>
      </w:pPr>
      <w:r>
        <w:rPr>
          <w:rFonts w:ascii="Calibri" w:hAnsi="Calibri"/>
          <w:b/>
          <w:i w:val="0"/>
          <w:color w:val="09A0B3"/>
          <w:sz w:val="32"/>
        </w:rPr>
        <w:t>Intellectual property</w:t>
      </w:r>
    </w:p>
    <w:p>
      <w:r>
        <w:rPr>
          <w:rFonts w:ascii="Calibri" w:hAnsi="Calibri"/>
          <w:b w:val="0"/>
          <w:i w:val="0"/>
          <w:color w:val="2F4F57"/>
          <w:sz w:val="22"/>
        </w:rPr>
        <w:t>Aries AI and its licensors retain all rights in the Services, software, models, interfaces, Documentation, methods, improvements and related intellectual property. No ownership transfers except as expressly stated. The Customer retains Customer Data and any Customer materials supplied for implementation.</w:t>
      </w:r>
    </w:p>
    <w:p>
      <w:r>
        <w:rPr>
          <w:rFonts w:ascii="Calibri" w:hAnsi="Calibri"/>
          <w:b w:val="0"/>
          <w:i w:val="0"/>
          <w:color w:val="2F4F57"/>
          <w:sz w:val="22"/>
        </w:rPr>
        <w:t>If the Customer provides feedback about the Services, Aries AI may use it without restriction or payment, provided Aries AI does not identify the Customer or disclose Confidential Information without permission. Any Customer-specific deliverable or developed material is governed by the applicable statement of work.</w:t>
      </w:r>
    </w:p>
    <w:p>
      <w:pPr>
        <w:pStyle w:val="Heading1"/>
        <w:numPr>
          <w:ilvl w:val="0"/>
          <w:numId w:val="12"/>
        </w:numPr>
      </w:pPr>
      <w:r>
        <w:rPr>
          <w:rFonts w:ascii="Calibri" w:hAnsi="Calibri"/>
          <w:b/>
          <w:i w:val="0"/>
          <w:color w:val="09A0B3"/>
          <w:sz w:val="32"/>
        </w:rPr>
        <w:t>Confidentiality</w:t>
      </w:r>
    </w:p>
    <w:p>
      <w:r>
        <w:rPr>
          <w:rFonts w:ascii="Calibri" w:hAnsi="Calibri"/>
          <w:b w:val="0"/>
          <w:i w:val="0"/>
          <w:color w:val="2F4F57"/>
          <w:sz w:val="22"/>
        </w:rPr>
        <w:t>Each recipient will protect the other party’s non-public business, technical, security and commercial information using at least reasonable care and use it only for the Agreement. Confidential Information does not include information the recipient can demonstrate was lawfully known without restriction, independently developed, lawfully received from another source or made public without breach.</w:t>
      </w:r>
    </w:p>
    <w:p>
      <w:r>
        <w:rPr>
          <w:rFonts w:ascii="Calibri" w:hAnsi="Calibri"/>
          <w:b w:val="0"/>
          <w:i w:val="0"/>
          <w:color w:val="2F4F57"/>
          <w:sz w:val="22"/>
        </w:rPr>
        <w:t>A recipient may disclose Confidential Information where legally required after giving prompt notice where permitted and reasonable assistance, at the disclosing party’s expense, to seek protective treatment. These duties continue for five years after disclosure, and for trade secrets for as long as they remain protected by law.</w:t>
      </w:r>
    </w:p>
    <w:p>
      <w:pPr>
        <w:pStyle w:val="Heading1"/>
        <w:numPr>
          <w:ilvl w:val="0"/>
          <w:numId w:val="12"/>
        </w:numPr>
      </w:pPr>
      <w:r>
        <w:rPr>
          <w:rFonts w:ascii="Calibri" w:hAnsi="Calibri"/>
          <w:b/>
          <w:i w:val="0"/>
          <w:color w:val="09A0B3"/>
          <w:sz w:val="32"/>
        </w:rPr>
        <w:t>Security and incident coordination</w:t>
      </w:r>
    </w:p>
    <w:p>
      <w:r>
        <w:rPr>
          <w:rFonts w:ascii="Calibri" w:hAnsi="Calibri"/>
          <w:b w:val="0"/>
          <w:i w:val="0"/>
          <w:color w:val="2F4F57"/>
          <w:sz w:val="22"/>
        </w:rPr>
        <w:t>Aries AI will maintain risk-based technical and organizational measures appropriate to the contracted processing, deployment model and reasonably assessed threats. Deployment-specific controls and shared responsibilities may be documented in a security, solution or responsibility schedule.</w:t>
      </w:r>
    </w:p>
    <w:p>
      <w:r>
        <w:rPr>
          <w:rFonts w:ascii="Calibri" w:hAnsi="Calibri"/>
          <w:b w:val="0"/>
          <w:i w:val="0"/>
          <w:color w:val="2F4F57"/>
          <w:sz w:val="22"/>
        </w:rPr>
        <w:t>Each party will notify the other without undue delay after confirming a security incident materially affecting the other party’s data or contracted environment and will provide information reasonably available for investigation, mitigation, notification and remediation. Personal Data Breaches are handled under the DPA.</w:t>
      </w:r>
    </w:p>
    <w:p>
      <w:pPr>
        <w:pStyle w:val="Heading1"/>
        <w:numPr>
          <w:ilvl w:val="0"/>
          <w:numId w:val="12"/>
        </w:numPr>
      </w:pPr>
      <w:r>
        <w:rPr>
          <w:rFonts w:ascii="Calibri" w:hAnsi="Calibri"/>
          <w:b/>
          <w:i w:val="0"/>
          <w:color w:val="09A0B3"/>
          <w:sz w:val="32"/>
        </w:rPr>
        <w:t>Suspension</w:t>
      </w:r>
    </w:p>
    <w:p>
      <w:r>
        <w:rPr>
          <w:rFonts w:ascii="Calibri" w:hAnsi="Calibri"/>
          <w:b w:val="0"/>
          <w:i w:val="0"/>
          <w:color w:val="2F4F57"/>
          <w:sz w:val="22"/>
        </w:rPr>
        <w:t>Aries AI may suspend affected access only to the extent reasonably necessary when: (a) continued use presents a material security, legal or operational risk; (b) the Customer materially breaches the Agreement or Acceptable Use requirements; (c) undisputed fees remain overdue after written notice and a reasonable cure period; or (d) suspension is required by law or a competent authority.</w:t>
      </w:r>
    </w:p>
    <w:p>
      <w:r>
        <w:rPr>
          <w:rFonts w:ascii="Calibri" w:hAnsi="Calibri"/>
          <w:b w:val="0"/>
          <w:i w:val="0"/>
          <w:color w:val="2F4F57"/>
          <w:sz w:val="22"/>
        </w:rPr>
        <w:t>Where feasible, Aries AI will provide advance notice, explain the scope and work with the Customer to restore access promptly after the cause is resolved. Emergency suspension may occur without prior notice where delay would materially increase risk.</w:t>
      </w:r>
    </w:p>
    <w:p>
      <w:pPr>
        <w:pStyle w:val="Heading1"/>
        <w:numPr>
          <w:ilvl w:val="0"/>
          <w:numId w:val="12"/>
        </w:numPr>
      </w:pPr>
      <w:r>
        <w:rPr>
          <w:rFonts w:ascii="Calibri" w:hAnsi="Calibri"/>
          <w:b/>
          <w:i w:val="0"/>
          <w:color w:val="09A0B3"/>
          <w:sz w:val="32"/>
        </w:rPr>
        <w:t>Termination</w:t>
      </w:r>
    </w:p>
    <w:p>
      <w:r>
        <w:rPr>
          <w:rFonts w:ascii="Calibri" w:hAnsi="Calibri"/>
          <w:b w:val="0"/>
          <w:i w:val="0"/>
          <w:color w:val="2F4F57"/>
          <w:sz w:val="22"/>
        </w:rPr>
        <w:t>Either party may terminate the affected Order Form for material breach if the breach is not cured within 30 days after written notice, or immediately if the breach cannot reasonably be cured. Either party may terminate if the other becomes insolvent, ceases business or enters comparable proceedings, subject to applicable law.</w:t>
      </w:r>
    </w:p>
    <w:p>
      <w:r>
        <w:rPr>
          <w:rFonts w:ascii="Calibri" w:hAnsi="Calibri"/>
          <w:b w:val="0"/>
          <w:i w:val="0"/>
          <w:color w:val="2F4F57"/>
          <w:sz w:val="22"/>
        </w:rPr>
        <w:t>Termination for convenience is available only if stated in the Order Form. Termination does not affect accrued rights or payment obligations. Prepaid fees are non-refundable except where the Agreement expressly provides otherwise; if the Customer terminates for Aries AI’s uncured material breach, Aries AI will refund prepaid fees for the unused terminated period.</w:t>
      </w:r>
    </w:p>
    <w:p>
      <w:pPr>
        <w:pStyle w:val="Heading1"/>
        <w:numPr>
          <w:ilvl w:val="0"/>
          <w:numId w:val="12"/>
        </w:numPr>
      </w:pPr>
      <w:r>
        <w:rPr>
          <w:rFonts w:ascii="Calibri" w:hAnsi="Calibri"/>
          <w:b/>
          <w:i w:val="0"/>
          <w:color w:val="09A0B3"/>
          <w:sz w:val="32"/>
        </w:rPr>
        <w:t>Exit, export and deletion</w:t>
      </w:r>
    </w:p>
    <w:p>
      <w:r>
        <w:rPr>
          <w:rFonts w:ascii="Calibri" w:hAnsi="Calibri"/>
          <w:b w:val="0"/>
          <w:i w:val="0"/>
          <w:color w:val="2F4F57"/>
          <w:sz w:val="22"/>
        </w:rPr>
        <w:t>During the subscription and for any agreed transition period, the Customer may export Customer Data using available functionality or a documented assistance process. At termination, Aries AI will return or delete Customer Data in accordance with the DPA, Order Form and applicable law. Additional transition services may be subject to agreed fees.</w:t>
      </w:r>
    </w:p>
    <w:p>
      <w:pPr>
        <w:pStyle w:val="Heading1"/>
        <w:numPr>
          <w:ilvl w:val="0"/>
          <w:numId w:val="12"/>
        </w:numPr>
      </w:pPr>
      <w:r>
        <w:rPr>
          <w:rFonts w:ascii="Calibri" w:hAnsi="Calibri"/>
          <w:b/>
          <w:i w:val="0"/>
          <w:color w:val="09A0B3"/>
          <w:sz w:val="32"/>
        </w:rPr>
        <w:t>Warranties</w:t>
      </w:r>
    </w:p>
    <w:p>
      <w:r>
        <w:rPr>
          <w:rFonts w:ascii="Calibri" w:hAnsi="Calibri"/>
          <w:b w:val="0"/>
          <w:i w:val="0"/>
          <w:color w:val="2F4F57"/>
          <w:sz w:val="22"/>
        </w:rPr>
        <w:t>Each party warrants that it has authority to enter the Agreement and will comply with laws applicable to its performance. Aries AI warrants that the Services will materially conform to the Agreement and Documentation and that professional services will be performed with reasonable skill and care. The Customer’s exclusive remedy for breach of these warranties is correction or re-performance and, if Aries AI cannot provide that remedy within a reasonable period, termination of the affected Services and a pro-rata refund of prepaid unused fees.</w:t>
      </w:r>
    </w:p>
    <w:p>
      <w:pPr>
        <w:pStyle w:val="Heading1"/>
        <w:numPr>
          <w:ilvl w:val="0"/>
          <w:numId w:val="12"/>
        </w:numPr>
      </w:pPr>
      <w:r>
        <w:rPr>
          <w:rFonts w:ascii="Calibri" w:hAnsi="Calibri"/>
          <w:b/>
          <w:i w:val="0"/>
          <w:color w:val="09A0B3"/>
          <w:sz w:val="32"/>
        </w:rPr>
        <w:t>Disclaimers</w:t>
      </w:r>
    </w:p>
    <w:p>
      <w:r>
        <w:rPr>
          <w:rFonts w:ascii="Calibri" w:hAnsi="Calibri"/>
          <w:b w:val="0"/>
          <w:i w:val="0"/>
          <w:color w:val="2F4F57"/>
          <w:sz w:val="22"/>
        </w:rPr>
        <w:t>Except for express warranties in the Agreement and to the maximum extent permitted by law, the Services are provided without implied warranties of merchantability, fitness for a particular purpose, title or non-infringement. Aries AI does not warrant that the Services or AI outputs will be error-free, uninterrupted or meet every Customer requirement. These exclusions do not limit rights or remedies that cannot lawfully be excluded.</w:t>
      </w:r>
    </w:p>
    <w:p>
      <w:pPr>
        <w:pStyle w:val="Heading1"/>
        <w:numPr>
          <w:ilvl w:val="0"/>
          <w:numId w:val="12"/>
        </w:numPr>
      </w:pPr>
      <w:r>
        <w:rPr>
          <w:rFonts w:ascii="Calibri" w:hAnsi="Calibri"/>
          <w:b/>
          <w:i w:val="0"/>
          <w:color w:val="09A0B3"/>
          <w:sz w:val="32"/>
        </w:rPr>
        <w:t>Indemnities</w:t>
      </w:r>
    </w:p>
    <w:p>
      <w:r>
        <w:rPr>
          <w:rFonts w:ascii="Calibri" w:hAnsi="Calibri"/>
          <w:b w:val="0"/>
          <w:i w:val="0"/>
          <w:color w:val="2F4F57"/>
          <w:sz w:val="22"/>
        </w:rPr>
        <w:t>Aries AI will defend the Customer against a third-party claim that the Customer’s authorized use of the Services infringes that party’s intellectual property rights and will pay finally awarded damages or approved settlement amounts. Aries AI may modify or replace the affected Services or terminate them with a pro-rata refund of prepaid unused fees. This obligation does not apply to claims caused by Customer Data, Customer instructions, unauthorized combinations, modifications not made by Aries AI or continued use after notice of an available non-infringing alternative.</w:t>
      </w:r>
    </w:p>
    <w:p>
      <w:r>
        <w:rPr>
          <w:rFonts w:ascii="Calibri" w:hAnsi="Calibri"/>
          <w:b w:val="0"/>
          <w:i w:val="0"/>
          <w:color w:val="2F4F57"/>
          <w:sz w:val="22"/>
        </w:rPr>
        <w:t>The Customer will defend Aries AI against a third-party claim arising from Customer Data, Customer-configured collection, unlawful instructions or use of the Services in material breach of the Agreement, and will pay finally awarded damages or approved settlement amounts. The indemnified party must promptly notify the indemnifying party, provide reasonable cooperation at the indemnifying party’s expense and allow control of the defense, while retaining the right to participate with its own counsel.</w:t>
      </w:r>
    </w:p>
    <w:p>
      <w:pPr>
        <w:pStyle w:val="Heading1"/>
        <w:numPr>
          <w:ilvl w:val="0"/>
          <w:numId w:val="12"/>
        </w:numPr>
      </w:pPr>
      <w:r>
        <w:rPr>
          <w:rFonts w:ascii="Calibri" w:hAnsi="Calibri"/>
          <w:b/>
          <w:i w:val="0"/>
          <w:color w:val="09A0B3"/>
          <w:sz w:val="32"/>
        </w:rPr>
        <w:t>Limitation of liability</w:t>
      </w:r>
    </w:p>
    <w:p>
      <w:r>
        <w:rPr>
          <w:rFonts w:ascii="Calibri" w:hAnsi="Calibri"/>
          <w:b w:val="0"/>
          <w:i w:val="0"/>
          <w:color w:val="2F4F57"/>
          <w:sz w:val="22"/>
        </w:rPr>
        <w:t>To the maximum extent permitted by law, neither party is liable for indirect, incidental, special, exemplary or consequential loss, or for lost profit, revenue, business opportunity or anticipated savings, except where those losses form part of an indemnified third-party claim.</w:t>
      </w:r>
    </w:p>
    <w:p>
      <w:r>
        <w:rPr>
          <w:rFonts w:ascii="Calibri" w:hAnsi="Calibri"/>
          <w:b w:val="0"/>
          <w:i w:val="0"/>
          <w:color w:val="2F4F57"/>
          <w:sz w:val="22"/>
        </w:rPr>
        <w:t>Subject to the exclusions below, each party’s aggregate liability arising from the affected Order Form will not exceed the fees paid or payable under that Order Form during the 12 months preceding the event giving rise to liability. The cap does not apply to fraud or willful misconduct, death or personal injury caused by negligence where non-excludable, breach of confidentiality, infringement or misappropriation of the other party’s intellectual property, indemnity obligations, violation of data-protection obligations, or the Customer’s payment obligations. The Order Form may state a different cap for a specific risk.</w:t>
      </w:r>
    </w:p>
    <w:p>
      <w:pPr>
        <w:pStyle w:val="Heading1"/>
        <w:numPr>
          <w:ilvl w:val="0"/>
          <w:numId w:val="12"/>
        </w:numPr>
      </w:pPr>
      <w:r>
        <w:rPr>
          <w:rFonts w:ascii="Calibri" w:hAnsi="Calibri"/>
          <w:b/>
          <w:i w:val="0"/>
          <w:color w:val="09A0B3"/>
          <w:sz w:val="32"/>
        </w:rPr>
        <w:t>Compliance with laws</w:t>
      </w:r>
    </w:p>
    <w:p>
      <w:r>
        <w:rPr>
          <w:rFonts w:ascii="Calibri" w:hAnsi="Calibri"/>
          <w:b w:val="0"/>
          <w:i w:val="0"/>
          <w:color w:val="2F4F57"/>
          <w:sz w:val="22"/>
        </w:rPr>
        <w:t>Each party will comply with laws applicable to its performance, including anti-bribery, anti-corruption, sanctions and export-control requirements. The Customer will not authorize access from a prohibited destination or by a prohibited party and will not use the Services for an activity that requires a government license unless the necessary authorization is in place.</w:t>
      </w:r>
    </w:p>
    <w:p>
      <w:pPr>
        <w:pStyle w:val="Heading1"/>
        <w:numPr>
          <w:ilvl w:val="0"/>
          <w:numId w:val="12"/>
        </w:numPr>
      </w:pPr>
      <w:r>
        <w:rPr>
          <w:rFonts w:ascii="Calibri" w:hAnsi="Calibri"/>
          <w:b/>
          <w:i w:val="0"/>
          <w:color w:val="09A0B3"/>
          <w:sz w:val="32"/>
        </w:rPr>
        <w:t>Governing law and disputes</w:t>
      </w:r>
    </w:p>
    <w:p>
      <w:r>
        <w:rPr>
          <w:rFonts w:ascii="Calibri" w:hAnsi="Calibri"/>
          <w:b w:val="0"/>
          <w:i w:val="0"/>
          <w:color w:val="2F4F57"/>
          <w:sz w:val="22"/>
        </w:rPr>
        <w:t>The governing law and exclusive forum are those stated in the Order Form. If the Order Form is silent, the Agreement is governed by the laws of the Hashemite Kingdom of Jordan, without regard to conflict-of-laws principles, and the courts of Amman, Jordan have exclusive jurisdiction. Before filing formal proceedings, senior representatives will attempt in good faith for at least 30 days to resolve the dispute, except where urgent injunctive or protective relief is reasonably required.</w:t>
      </w:r>
    </w:p>
    <w:p>
      <w:pPr>
        <w:pStyle w:val="Heading1"/>
        <w:numPr>
          <w:ilvl w:val="0"/>
          <w:numId w:val="12"/>
        </w:numPr>
      </w:pPr>
      <w:r>
        <w:rPr>
          <w:rFonts w:ascii="Calibri" w:hAnsi="Calibri"/>
          <w:b/>
          <w:i w:val="0"/>
          <w:color w:val="09A0B3"/>
          <w:sz w:val="32"/>
        </w:rPr>
        <w:t>Notices</w:t>
      </w:r>
    </w:p>
    <w:p>
      <w:r>
        <w:rPr>
          <w:rFonts w:ascii="Calibri" w:hAnsi="Calibri"/>
          <w:b w:val="0"/>
          <w:i w:val="0"/>
          <w:color w:val="2F4F57"/>
          <w:sz w:val="22"/>
        </w:rPr>
        <w:t>Formal notices must be in writing and delivered to the legal or commercial contact in the Order Form, with a copy to info@ariesai.ai for Aries AI. A notice is effective on confirmed receipt, except that email notice is effective on the next business day if no delivery failure is received. Routine service communications may be delivered through the account, support channel or email.</w:t>
      </w:r>
    </w:p>
    <w:p>
      <w:pPr>
        <w:pStyle w:val="Heading1"/>
        <w:numPr>
          <w:ilvl w:val="0"/>
          <w:numId w:val="12"/>
        </w:numPr>
      </w:pPr>
      <w:r>
        <w:rPr>
          <w:rFonts w:ascii="Calibri" w:hAnsi="Calibri"/>
          <w:b/>
          <w:i w:val="0"/>
          <w:color w:val="09A0B3"/>
          <w:sz w:val="32"/>
        </w:rPr>
        <w:t>Changes to these Terms</w:t>
      </w:r>
    </w:p>
    <w:p>
      <w:r>
        <w:rPr>
          <w:rFonts w:ascii="Calibri" w:hAnsi="Calibri"/>
          <w:b w:val="0"/>
          <w:i w:val="0"/>
          <w:color w:val="2F4F57"/>
          <w:sz w:val="22"/>
        </w:rPr>
        <w:t>Aries AI may update these public Terms for future orders. A change does not amend an active Order Form unless the Agreement permits incorporation of updated online terms and Aries AI provides the notice required by that Agreement. Material adverse changes will not apply during an active subscription without the Customer’s agreement, except where required by law or necessary to address a material security risk.</w:t>
      </w:r>
    </w:p>
    <w:p>
      <w:pPr>
        <w:pStyle w:val="Heading1"/>
        <w:numPr>
          <w:ilvl w:val="0"/>
          <w:numId w:val="12"/>
        </w:numPr>
      </w:pPr>
      <w:r>
        <w:rPr>
          <w:rFonts w:ascii="Calibri" w:hAnsi="Calibri"/>
          <w:b/>
          <w:i w:val="0"/>
          <w:color w:val="09A0B3"/>
          <w:sz w:val="32"/>
        </w:rPr>
        <w:t>General terms</w:t>
      </w:r>
    </w:p>
    <w:p>
      <w:pPr>
        <w:spacing w:after="160" w:line="280" w:lineRule="auto"/>
        <w:numPr>
          <w:ilvl w:val="0"/>
          <w:numId w:val="10"/>
        </w:numPr>
      </w:pPr>
      <w:r>
        <w:rPr>
          <w:rFonts w:ascii="Calibri" w:hAnsi="Calibri"/>
          <w:b w:val="0"/>
          <w:i w:val="0"/>
          <w:color w:val="2F4F57"/>
          <w:sz w:val="22"/>
        </w:rPr>
        <w:t>Neither party may assign the Agreement without the other’s consent, not to be unreasonably withheld, except to an affiliate or in connection with a merger, reorganization or sale of substantially all relevant assets, provided the assignee is not a direct competitor and can perform the obligations.</w:t>
      </w:r>
    </w:p>
    <w:p>
      <w:pPr>
        <w:spacing w:after="160" w:line="280" w:lineRule="auto"/>
        <w:numPr>
          <w:ilvl w:val="0"/>
          <w:numId w:val="10"/>
        </w:numPr>
      </w:pPr>
      <w:r>
        <w:rPr>
          <w:rFonts w:ascii="Calibri" w:hAnsi="Calibri"/>
          <w:b w:val="0"/>
          <w:i w:val="0"/>
          <w:color w:val="2F4F57"/>
          <w:sz w:val="22"/>
        </w:rPr>
        <w:t>The parties are independent contractors. The Agreement creates no partnership, agency, fiduciary relationship or third-party beneficiary rights.</w:t>
      </w:r>
    </w:p>
    <w:p>
      <w:pPr>
        <w:spacing w:after="160" w:line="280" w:lineRule="auto"/>
        <w:numPr>
          <w:ilvl w:val="0"/>
          <w:numId w:val="10"/>
        </w:numPr>
      </w:pPr>
      <w:r>
        <w:rPr>
          <w:rFonts w:ascii="Calibri" w:hAnsi="Calibri"/>
          <w:b w:val="0"/>
          <w:i w:val="0"/>
          <w:color w:val="2F4F57"/>
          <w:sz w:val="22"/>
        </w:rPr>
        <w:t>Neither party is liable for delay caused by events beyond its reasonable control, excluding payment obligations, if it takes reasonable steps to mitigate and resume performance.</w:t>
      </w:r>
    </w:p>
    <w:p>
      <w:pPr>
        <w:spacing w:after="160" w:line="280" w:lineRule="auto"/>
        <w:numPr>
          <w:ilvl w:val="0"/>
          <w:numId w:val="10"/>
        </w:numPr>
      </w:pPr>
      <w:r>
        <w:rPr>
          <w:rFonts w:ascii="Calibri" w:hAnsi="Calibri"/>
          <w:b w:val="0"/>
          <w:i w:val="0"/>
          <w:color w:val="2F4F57"/>
          <w:sz w:val="22"/>
        </w:rPr>
        <w:t>If a provision is unenforceable, it will be limited to the minimum extent necessary and the remaining provisions continue. A waiver must be in writing and applies only to the stated instance.</w:t>
      </w:r>
    </w:p>
    <w:p>
      <w:pPr>
        <w:spacing w:after="160" w:line="280" w:lineRule="auto"/>
        <w:numPr>
          <w:ilvl w:val="0"/>
          <w:numId w:val="10"/>
        </w:numPr>
      </w:pPr>
      <w:r>
        <w:rPr>
          <w:rFonts w:ascii="Calibri" w:hAnsi="Calibri"/>
          <w:b w:val="0"/>
          <w:i w:val="0"/>
          <w:color w:val="2F4F57"/>
          <w:sz w:val="22"/>
        </w:rPr>
        <w:t>Provisions that by nature should survive will survive termination, including confidentiality, intellectual property, payment, indemnities, liability limits, dispute terms and data-return obligations.</w:t>
      </w:r>
    </w:p>
    <w:p>
      <w:pPr>
        <w:spacing w:after="160" w:line="280" w:lineRule="auto"/>
        <w:numPr>
          <w:ilvl w:val="0"/>
          <w:numId w:val="10"/>
        </w:numPr>
      </w:pPr>
      <w:r>
        <w:rPr>
          <w:rFonts w:ascii="Calibri" w:hAnsi="Calibri"/>
          <w:b w:val="0"/>
          <w:i w:val="0"/>
          <w:color w:val="2F4F57"/>
          <w:sz w:val="22"/>
        </w:rPr>
        <w:t>The Agreement is the complete agreement about its subject matter and may be executed electronically and in counterparts.</w:t>
      </w:r>
    </w:p>
    <w:p>
      <w:r>
        <w:br w:type="page"/>
      </w:r>
    </w:p>
    <w:p>
      <w:pPr>
        <w:pStyle w:val="Heading1"/>
      </w:pPr>
      <w:r>
        <w:t>Appendix A — Acceptable Use Standard</w:t>
      </w:r>
    </w:p>
    <w:p>
      <w:r>
        <w:rPr>
          <w:rFonts w:ascii="Calibri" w:hAnsi="Calibri"/>
          <w:b w:val="0"/>
          <w:i w:val="0"/>
          <w:color w:val="2F4F57"/>
          <w:sz w:val="22"/>
        </w:rPr>
        <w:t>This Appendix forms part of the Terms. It is designed to protect stakeholders, Customers, Aries AI and the integrity of the Services without preventing legitimate enterprise use.</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600"/>
        <w:gridCol w:w="6760"/>
      </w:tblGrid>
      <w:tr>
        <w:trPr>
          <w:tblHeader w:val="true"/>
        </w:trPr>
        <w:tc>
          <w:tcPr>
            <w:tcW w:type="dxa" w:w="2600"/>
            <w:tcMar>
              <w:top w:w="80" w:type="dxa"/>
              <w:start w:w="120" w:type="dxa"/>
              <w:bottom w:w="80" w:type="dxa"/>
              <w:end w:w="120" w:type="dxa"/>
            </w:tcMar>
            <w:shd w:fill="F2F4F7"/>
          </w:tcPr>
          <w:p>
            <w:pPr>
              <w:spacing w:after="0"/>
            </w:pPr>
            <w:r>
              <w:rPr>
                <w:rFonts w:ascii="Calibri" w:hAnsi="Calibri"/>
                <w:b/>
                <w:i w:val="0"/>
                <w:color w:val="173F48"/>
                <w:sz w:val="18"/>
              </w:rPr>
              <w:t>CONTROL AREA</w:t>
            </w:r>
          </w:p>
        </w:tc>
        <w:tc>
          <w:tcPr>
            <w:tcW w:type="dxa" w:w="6760"/>
            <w:tcMar>
              <w:top w:w="80" w:type="dxa"/>
              <w:start w:w="120" w:type="dxa"/>
              <w:bottom w:w="80" w:type="dxa"/>
              <w:end w:w="120" w:type="dxa"/>
            </w:tcMar>
            <w:shd w:fill="F2F4F7"/>
          </w:tcPr>
          <w:p>
            <w:pPr>
              <w:spacing w:after="0"/>
            </w:pPr>
            <w:r>
              <w:rPr>
                <w:rFonts w:ascii="Calibri" w:hAnsi="Calibri"/>
                <w:b/>
                <w:i w:val="0"/>
                <w:color w:val="173F48"/>
                <w:sz w:val="18"/>
              </w:rPr>
              <w:t>EXPECTED PRACTICE</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Lawful collection</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Use defined, lawful purposes; provide required notices; collect only relevant data.</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Safe content</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Do not submit malware, credentials, illegal material or content that creates an immediate safety or security risk.</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Authorized access</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Use assigned accounts, approved integrations and permitted roles; do not circumvent controls.</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Responsible AI</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Apply human review, assess context and do not present probabilistic outputs as verified fact.</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Respectful use</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Do not facilitate harassment, exploitation, unlawful discrimination, deceptive impersonation or prohibited surveillance.</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Service integrity</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Do not overload, scrape, probe, benchmark publicly or interfere with the Services without written authorization.</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Regulated decisions</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Do not rely on Reach as the sole decision-maker for legal or similarly significant outcomes.</w:t>
            </w:r>
          </w:p>
        </w:tc>
      </w:tr>
      <w:tr>
        <w:tc>
          <w:tcPr>
            <w:tcW w:type="dxa" w:w="2600"/>
            <w:vAlign w:val="center"/>
            <w:tcMar>
              <w:top w:w="80" w:type="dxa"/>
              <w:start w:w="120" w:type="dxa"/>
              <w:bottom w:w="80" w:type="dxa"/>
              <w:end w:w="120" w:type="dxa"/>
            </w:tcMar>
          </w:tcPr>
          <w:p>
            <w:pPr>
              <w:spacing w:after="0"/>
            </w:pPr>
            <w:r>
              <w:rPr>
                <w:rFonts w:ascii="Calibri" w:hAnsi="Calibri"/>
                <w:b w:val="0"/>
                <w:i w:val="0"/>
                <w:color w:val="2F4F57"/>
                <w:sz w:val="18"/>
              </w:rPr>
              <w:t>Incident reporting</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Promptly report suspected abuse, compromise or unauthorized access to the designated support channel.</w:t>
            </w:r>
          </w:p>
        </w:tc>
      </w:tr>
    </w:tbl>
    <w:p>
      <w:pPr>
        <w:pStyle w:val="Heading2"/>
      </w:pPr>
      <w:r>
        <w:t>Response to suspected misuse</w:t>
      </w:r>
    </w:p>
    <w:p>
      <w:r>
        <w:rPr>
          <w:rFonts w:ascii="Calibri" w:hAnsi="Calibri"/>
          <w:b w:val="0"/>
          <w:i w:val="0"/>
          <w:color w:val="2F4F57"/>
          <w:sz w:val="22"/>
        </w:rPr>
        <w:t>Aries AI may investigate a credible misuse report, request information, limit the affected feature or suspend the minimum necessary access under the Suspension clause. The parties should preserve relevant evidence and cooperate in remediation. Aries AI will use proportionate measures and restore normal access when the risk is resolved.</w:t>
      </w:r>
    </w:p>
    <w:p>
      <w:r>
        <w:br w:type="page"/>
      </w:r>
    </w:p>
    <w:p>
      <w:pPr>
        <w:pStyle w:val="Heading1"/>
      </w:pPr>
      <w:r>
        <w:t>Appendix B — Deployment responsibility summary</w:t>
      </w:r>
    </w:p>
    <w:p>
      <w:r>
        <w:rPr>
          <w:rFonts w:ascii="Calibri" w:hAnsi="Calibri"/>
          <w:b w:val="0"/>
          <w:i w:val="0"/>
          <w:color w:val="2F4F57"/>
          <w:sz w:val="22"/>
        </w:rPr>
        <w:t>The Order Form, solution design and security schedule control over this summary. Responsibilities may be shared and vary by architecture, region and Customer requirements.</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1700"/>
        <w:gridCol w:w="3830"/>
        <w:gridCol w:w="3830"/>
      </w:tblGrid>
      <w:tr>
        <w:trPr>
          <w:tblHeader w:val="true"/>
        </w:trPr>
        <w:tc>
          <w:tcPr>
            <w:tcW w:type="dxa" w:w="1700"/>
            <w:tcMar>
              <w:top w:w="80" w:type="dxa"/>
              <w:start w:w="120" w:type="dxa"/>
              <w:bottom w:w="80" w:type="dxa"/>
              <w:end w:w="120" w:type="dxa"/>
            </w:tcMar>
            <w:shd w:fill="F2F4F7"/>
          </w:tcPr>
          <w:p>
            <w:pPr>
              <w:spacing w:after="0"/>
            </w:pPr>
            <w:r>
              <w:rPr>
                <w:rFonts w:ascii="Calibri" w:hAnsi="Calibri"/>
                <w:b/>
                <w:i w:val="0"/>
                <w:color w:val="173F48"/>
                <w:sz w:val="18"/>
              </w:rPr>
              <w:t>DEPLOYMENT</w:t>
            </w:r>
          </w:p>
        </w:tc>
        <w:tc>
          <w:tcPr>
            <w:tcW w:type="dxa" w:w="3830"/>
            <w:tcMar>
              <w:top w:w="80" w:type="dxa"/>
              <w:start w:w="120" w:type="dxa"/>
              <w:bottom w:w="80" w:type="dxa"/>
              <w:end w:w="120" w:type="dxa"/>
            </w:tcMar>
            <w:shd w:fill="F2F4F7"/>
          </w:tcPr>
          <w:p>
            <w:pPr>
              <w:spacing w:after="0"/>
            </w:pPr>
            <w:r>
              <w:rPr>
                <w:rFonts w:ascii="Calibri" w:hAnsi="Calibri"/>
                <w:b/>
                <w:i w:val="0"/>
                <w:color w:val="173F48"/>
                <w:sz w:val="18"/>
              </w:rPr>
              <w:t>ARIES AI</w:t>
            </w:r>
          </w:p>
        </w:tc>
        <w:tc>
          <w:tcPr>
            <w:tcW w:type="dxa" w:w="3830"/>
            <w:tcMar>
              <w:top w:w="80" w:type="dxa"/>
              <w:start w:w="120" w:type="dxa"/>
              <w:bottom w:w="80" w:type="dxa"/>
              <w:end w:w="120" w:type="dxa"/>
            </w:tcMar>
            <w:shd w:fill="F2F4F7"/>
          </w:tcPr>
          <w:p>
            <w:pPr>
              <w:spacing w:after="0"/>
            </w:pPr>
            <w:r>
              <w:rPr>
                <w:rFonts w:ascii="Calibri" w:hAnsi="Calibri"/>
                <w:b/>
                <w:i w:val="0"/>
                <w:color w:val="173F48"/>
                <w:sz w:val="18"/>
              </w:rPr>
              <w:t>CUSTOMER</w:t>
            </w:r>
          </w:p>
        </w:tc>
      </w:tr>
      <w:tr>
        <w:tc>
          <w:tcPr>
            <w:tcW w:type="dxa" w:w="1700"/>
            <w:vAlign w:val="center"/>
            <w:tcMar>
              <w:top w:w="80" w:type="dxa"/>
              <w:start w:w="120" w:type="dxa"/>
              <w:bottom w:w="80" w:type="dxa"/>
              <w:end w:w="120" w:type="dxa"/>
            </w:tcMar>
          </w:tcPr>
          <w:p>
            <w:pPr>
              <w:spacing w:after="0"/>
            </w:pPr>
            <w:r>
              <w:rPr>
                <w:rFonts w:ascii="Calibri" w:hAnsi="Calibri"/>
                <w:b w:val="0"/>
                <w:i w:val="0"/>
                <w:color w:val="2F4F57"/>
                <w:sz w:val="18"/>
              </w:rPr>
              <w:t>Managed cloud</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Operates the contracted managed environment and platform controls.</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Manages users, lawful configuration, endpoints, integrations and Customer-side governance.</w:t>
            </w:r>
          </w:p>
        </w:tc>
      </w:tr>
      <w:tr>
        <w:tc>
          <w:tcPr>
            <w:tcW w:type="dxa" w:w="1700"/>
            <w:vAlign w:val="center"/>
            <w:tcMar>
              <w:top w:w="80" w:type="dxa"/>
              <w:start w:w="120" w:type="dxa"/>
              <w:bottom w:w="80" w:type="dxa"/>
              <w:end w:w="120" w:type="dxa"/>
            </w:tcMar>
          </w:tcPr>
          <w:p>
            <w:pPr>
              <w:spacing w:after="0"/>
            </w:pPr>
            <w:r>
              <w:rPr>
                <w:rFonts w:ascii="Calibri" w:hAnsi="Calibri"/>
                <w:b w:val="0"/>
                <w:i w:val="0"/>
                <w:color w:val="2F4F57"/>
                <w:sz w:val="18"/>
              </w:rPr>
              <w:t>Private cloud</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Operates agreed platform components within a dedicated cloud boundary.</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Approves architecture and manages responsibilities allocated in the solution design.</w:t>
            </w:r>
          </w:p>
        </w:tc>
      </w:tr>
      <w:tr>
        <w:tc>
          <w:tcPr>
            <w:tcW w:type="dxa" w:w="1700"/>
            <w:vAlign w:val="center"/>
            <w:tcMar>
              <w:top w:w="80" w:type="dxa"/>
              <w:start w:w="120" w:type="dxa"/>
              <w:bottom w:w="80" w:type="dxa"/>
              <w:end w:w="120" w:type="dxa"/>
            </w:tcMar>
          </w:tcPr>
          <w:p>
            <w:pPr>
              <w:spacing w:after="0"/>
            </w:pPr>
            <w:r>
              <w:rPr>
                <w:rFonts w:ascii="Calibri" w:hAnsi="Calibri"/>
                <w:b w:val="0"/>
                <w:i w:val="0"/>
                <w:color w:val="2F4F57"/>
                <w:sz w:val="18"/>
              </w:rPr>
              <w:t>On-premise</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Provides licensed platform components, Documentation and agreed support.</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Operates hosting, networks, patching, backups, monitoring and physical/environmental controls unless stated otherwise.</w:t>
            </w:r>
          </w:p>
        </w:tc>
      </w:tr>
      <w:tr>
        <w:tc>
          <w:tcPr>
            <w:tcW w:type="dxa" w:w="1700"/>
            <w:vAlign w:val="center"/>
            <w:tcMar>
              <w:top w:w="80" w:type="dxa"/>
              <w:start w:w="120" w:type="dxa"/>
              <w:bottom w:w="80" w:type="dxa"/>
              <w:end w:w="120" w:type="dxa"/>
            </w:tcMar>
          </w:tcPr>
          <w:p>
            <w:pPr>
              <w:spacing w:after="0"/>
            </w:pPr>
            <w:r>
              <w:rPr>
                <w:rFonts w:ascii="Calibri" w:hAnsi="Calibri"/>
                <w:b w:val="0"/>
                <w:i w:val="0"/>
                <w:color w:val="2F4F57"/>
                <w:sz w:val="18"/>
              </w:rPr>
              <w:t>Hybrid</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Operates assigned platform and processing components.</w:t>
            </w:r>
          </w:p>
        </w:tc>
        <w:tc>
          <w:tcPr>
            <w:tcW w:type="dxa" w:w="3830"/>
            <w:vAlign w:val="center"/>
            <w:tcMar>
              <w:top w:w="80" w:type="dxa"/>
              <w:start w:w="120" w:type="dxa"/>
              <w:bottom w:w="80" w:type="dxa"/>
              <w:end w:w="120" w:type="dxa"/>
            </w:tcMar>
          </w:tcPr>
          <w:p>
            <w:pPr>
              <w:spacing w:after="0"/>
            </w:pPr>
            <w:r>
              <w:rPr>
                <w:rFonts w:ascii="Calibri" w:hAnsi="Calibri"/>
                <w:b w:val="0"/>
                <w:i w:val="0"/>
                <w:color w:val="2F4F57"/>
                <w:sz w:val="18"/>
              </w:rPr>
              <w:t>Operates assigned infrastructure and approves data routes, regional boundaries and shared controls.</w:t>
            </w:r>
          </w:p>
        </w:tc>
      </w:tr>
    </w:tbl>
    <w:p>
      <w:pPr>
        <w:pStyle w:val="Heading2"/>
      </w:pPr>
      <w:r>
        <w:t>Customer-specific schedules</w:t>
      </w:r>
    </w:p>
    <w:p>
      <w:pPr>
        <w:spacing w:after="160" w:line="280" w:lineRule="auto"/>
        <w:numPr>
          <w:ilvl w:val="0"/>
          <w:numId w:val="10"/>
        </w:numPr>
      </w:pPr>
      <w:r>
        <w:rPr>
          <w:rFonts w:ascii="Calibri" w:hAnsi="Calibri"/>
          <w:b w:val="0"/>
          <w:i w:val="0"/>
          <w:color w:val="2F4F57"/>
          <w:sz w:val="22"/>
        </w:rPr>
        <w:t>Service description, licensed capabilities, usage limits and implementation scope.</w:t>
      </w:r>
    </w:p>
    <w:p>
      <w:pPr>
        <w:spacing w:after="160" w:line="280" w:lineRule="auto"/>
        <w:numPr>
          <w:ilvl w:val="0"/>
          <w:numId w:val="10"/>
        </w:numPr>
      </w:pPr>
      <w:r>
        <w:rPr>
          <w:rFonts w:ascii="Calibri" w:hAnsi="Calibri"/>
          <w:b w:val="0"/>
          <w:i w:val="0"/>
          <w:color w:val="2F4F57"/>
          <w:sz w:val="22"/>
        </w:rPr>
        <w:t>Hosting location, data routes, retention, backup and resilience design.</w:t>
      </w:r>
    </w:p>
    <w:p>
      <w:pPr>
        <w:spacing w:after="160" w:line="280" w:lineRule="auto"/>
        <w:numPr>
          <w:ilvl w:val="0"/>
          <w:numId w:val="10"/>
        </w:numPr>
      </w:pPr>
      <w:r>
        <w:rPr>
          <w:rFonts w:ascii="Calibri" w:hAnsi="Calibri"/>
          <w:b w:val="0"/>
          <w:i w:val="0"/>
          <w:color w:val="2F4F57"/>
          <w:sz w:val="22"/>
        </w:rPr>
        <w:t>Identity, access, logging, monitoring, vulnerability and incident responsibilities.</w:t>
      </w:r>
    </w:p>
    <w:p>
      <w:pPr>
        <w:spacing w:after="160" w:line="280" w:lineRule="auto"/>
        <w:numPr>
          <w:ilvl w:val="0"/>
          <w:numId w:val="10"/>
        </w:numPr>
      </w:pPr>
      <w:r>
        <w:rPr>
          <w:rFonts w:ascii="Calibri" w:hAnsi="Calibri"/>
          <w:b w:val="0"/>
          <w:i w:val="0"/>
          <w:color w:val="2F4F57"/>
          <w:sz w:val="22"/>
        </w:rPr>
        <w:t>Support, service levels, maintenance windows and escalation contacts.</w:t>
      </w:r>
    </w:p>
    <w:p>
      <w:pPr>
        <w:spacing w:after="160" w:line="280" w:lineRule="auto"/>
        <w:numPr>
          <w:ilvl w:val="0"/>
          <w:numId w:val="10"/>
        </w:numPr>
      </w:pPr>
      <w:r>
        <w:rPr>
          <w:rFonts w:ascii="Calibri" w:hAnsi="Calibri"/>
          <w:b w:val="0"/>
          <w:i w:val="0"/>
          <w:color w:val="2F4F57"/>
          <w:sz w:val="22"/>
        </w:rPr>
        <w:t>Data Processing Addendum, security schedule and approved Subprocessors where applicable.</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ENTERPRISE CONTRACTING  </w:t>
            </w:r>
            <w:r>
              <w:rPr>
                <w:rFonts w:ascii="Calibri" w:hAnsi="Calibri"/>
                <w:b w:val="0"/>
                <w:i w:val="0"/>
                <w:color w:val="173F48"/>
                <w:sz w:val="21"/>
              </w:rPr>
              <w:t>For an executed agreement, Order Form, security schedule, DPA or legal review, contact info@ariesai.ai with the subject ‘Aries Reach — Enterprise Terms Review’. This document is not legal advice and should be confirmed by qualified counsel for the intended markets and transaction.</w:t>
            </w:r>
          </w:p>
        </w:tc>
      </w:tr>
    </w:tbl>
    <w:p>
      <w:pPr>
        <w:spacing w:after="0"/>
      </w:pP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7200"/>
      <w:gridCol w:w="2160"/>
    </w:tblGrid>
    <w:tr>
      <w:tc>
        <w:tcPr>
          <w:tcW w:type="dxa" w:w="7200"/>
          <w:tcMar>
            <w:top w:w="80" w:type="dxa"/>
            <w:start w:w="120" w:type="dxa"/>
            <w:bottom w:w="80" w:type="dxa"/>
            <w:end w:w="120" w:type="dxa"/>
          </w:tcMar>
        </w:tcPr>
        <w:p>
          <w:pPr>
            <w:spacing w:after="0"/>
          </w:pPr>
          <w:r>
            <w:rPr>
              <w:rFonts w:ascii="Calibri" w:hAnsi="Calibri"/>
              <w:b w:val="0"/>
              <w:i w:val="0"/>
              <w:color w:val="5F7A81"/>
              <w:sz w:val="16"/>
            </w:rPr>
            <w:t>© 2026 Aries AI  ·  Public enterprise terms</w:t>
          </w:r>
        </w:p>
      </w:tc>
      <w:tc>
        <w:tcPr>
          <w:tcW w:type="dxa" w:w="2160"/>
          <w:tcMar>
            <w:top w:w="80" w:type="dxa"/>
            <w:start w:w="120" w:type="dxa"/>
            <w:bottom w:w="80" w:type="dxa"/>
            <w:end w:w="120" w:type="dxa"/>
          </w:tcMar>
        </w:tcPr>
        <w:p>
          <w:pPr>
            <w:jc w:val="right"/>
          </w:pPr>
          <w:r>
            <w:rPr>
              <w:rFonts w:ascii="Calibri" w:hAnsi="Calibri"/>
              <w:b/>
              <w:i w:val="0"/>
              <w:color w:val="5F7A81"/>
              <w:sz w:val="17"/>
            </w:rPr>
            <w:t xml:space="preserve">PAGE </w:t>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5" w:space="5" w:color="C8DADD"/>
      </w:pBdr>
    </w:pPr>
    <w:r>
      <w:rPr>
        <w:rFonts w:ascii="Calibri" w:hAnsi="Calibri"/>
        <w:b/>
        <w:i w:val="0"/>
        <w:color w:val="5F7A81"/>
        <w:sz w:val="17"/>
      </w:rPr>
      <w:t>ARIES REACH  ·  ENTERPRISE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lvl>
  </w:abstractNum>
  <w:num w:numId="10">
    <w:abstractNumId w:val="9"/>
  </w:num>
  <w:abstractNum w:abstractNumId="10">
    <w:multiLevelType w:val="singleLevel"/>
    <w:lvl w:ilvl="0">
      <w:start w:val="1"/>
      <w:numFmt w:val="decimal"/>
      <w:lvlText w:val="%1."/>
      <w:lvlJc w:val="left"/>
      <w:pPr>
        <w:tabs>
          <w:tab w:val="num" w:pos="540"/>
        </w:tabs>
        <w:ind w:left="540" w:hanging="280"/>
        <w:spacing w:after="120" w:line="280" w:lineRule="auto"/>
      </w:pPr>
    </w:lvl>
  </w:abstractNum>
  <w:num w:numId="11">
    <w:abstractNumId w:val="10"/>
  </w:num>
  <w:abstractNum w:abstractNumId="11">
    <w:multiLevelType w:val="singleLevel"/>
    <w:lvl w:ilvl="0">
      <w:start w:val="1"/>
      <w:numFmt w:val="decimal"/>
      <w:lvlText w:val="%1."/>
      <w:lvlJc w:val="left"/>
      <w:pPr>
        <w:tabs>
          <w:tab w:val="num" w:pos="500"/>
        </w:tabs>
        <w:ind w:left="500" w:hanging="260"/>
        <w:spacing w:after="0" w:line="240" w:lineRule="auto"/>
      </w:p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F4F5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9A0B3"/>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9A0B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F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Aries Reach Enterprise Terms of Service</dc:title>
  <dc:subject>Public enterprise terms for Aries Reach services</dc:subject>
  <dc:creator>Aries AI</dc:creator>
  <cp:keywords>Aries Reach, enterprise terms, terms of service, SaaS, AI, managed cloud, private cloud, on-premise, hybrid</cp:keywords>
  <dc:description>Public enterprise terms — version 2.0</dc:description>
  <cp:lastModifiedBy/>
  <cp:revision>1</cp:revision>
  <dcterms:created xsi:type="dcterms:W3CDTF">2013-12-23T23:15:00Z</dcterms:created>
  <dcterms:modified xsi:type="dcterms:W3CDTF">2013-12-23T23:15:00Z</dcterms:modified>
  <cp:category/>
</cp:coreProperties>
</file>