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360"/>
      </w:pPr>
      <w:r>
        <w:drawing>
          <wp:inline xmlns:a="http://schemas.openxmlformats.org/drawingml/2006/main" xmlns:pic="http://schemas.openxmlformats.org/drawingml/2006/picture">
            <wp:extent cx="2148840" cy="476591"/>
            <wp:docPr id="1" name="Picture 1" descr="Aries Reach logo" title="Aries Reach"/>
            <wp:cNvGraphicFramePr>
              <a:graphicFrameLocks noChangeAspect="1"/>
            </wp:cNvGraphicFramePr>
            <a:graphic>
              <a:graphicData uri="http://schemas.openxmlformats.org/drawingml/2006/picture">
                <pic:pic>
                  <pic:nvPicPr>
                    <pic:cNvPr id="0" name="reach-logo.png"/>
                    <pic:cNvPicPr/>
                  </pic:nvPicPr>
                  <pic:blipFill>
                    <a:blip r:embed="rId11"/>
                    <a:stretch>
                      <a:fillRect/>
                    </a:stretch>
                  </pic:blipFill>
                  <pic:spPr>
                    <a:xfrm>
                      <a:off x="0" y="0"/>
                      <a:ext cx="2148840" cy="476591"/>
                    </a:xfrm>
                    <a:prstGeom prst="rect"/>
                  </pic:spPr>
                </pic:pic>
              </a:graphicData>
            </a:graphic>
          </wp:inline>
        </w:drawing>
      </w:r>
    </w:p>
    <w:p>
      <w:pPr>
        <w:spacing w:after="80"/>
      </w:pPr>
      <w:r>
        <w:rPr>
          <w:rFonts w:ascii="Calibri" w:hAnsi="Calibri"/>
          <w:b/>
          <w:i w:val="0"/>
          <w:color w:val="09A0B3"/>
          <w:sz w:val="18"/>
        </w:rPr>
        <w:t>ENTERPRISE BILLING &amp; COMMERCIAL FAIRNESS</w:t>
      </w:r>
    </w:p>
    <w:p>
      <w:pPr>
        <w:spacing w:after="120"/>
      </w:pPr>
      <w:r>
        <w:rPr>
          <w:rFonts w:ascii="Calibri" w:hAnsi="Calibri"/>
          <w:b/>
          <w:i w:val="0"/>
          <w:color w:val="173F48"/>
          <w:sz w:val="56"/>
        </w:rPr>
        <w:t>Aries Reach Refund and Cancellation Policy</w:t>
      </w:r>
    </w:p>
    <w:p>
      <w:pPr>
        <w:spacing w:after="360"/>
      </w:pPr>
      <w:r>
        <w:rPr>
          <w:rFonts w:ascii="Calibri" w:hAnsi="Calibri"/>
          <w:b w:val="0"/>
          <w:i w:val="0"/>
          <w:color w:val="5F7A81"/>
          <w:sz w:val="27"/>
        </w:rPr>
        <w:t>Clear rules for subscription changes, non-renewal, billing corrections, service credits and qualifying refunds.</w:t>
      </w:r>
    </w:p>
    <w:p>
      <w:pPr>
        <w:spacing w:after="60"/>
      </w:pPr>
      <w:r>
        <w:rPr>
          <w:rFonts w:ascii="Calibri" w:hAnsi="Calibri"/>
          <w:b/>
          <w:i w:val="0"/>
          <w:color w:val="09A0B3"/>
          <w:sz w:val="17"/>
        </w:rPr>
        <w:t xml:space="preserve">VERSION  </w:t>
      </w:r>
      <w:r>
        <w:rPr>
          <w:rFonts w:ascii="Calibri" w:hAnsi="Calibri"/>
          <w:b/>
          <w:i w:val="0"/>
          <w:color w:val="173F48"/>
          <w:sz w:val="21"/>
        </w:rPr>
        <w:t>2.0</w:t>
      </w:r>
    </w:p>
    <w:p>
      <w:pPr>
        <w:spacing w:after="60"/>
      </w:pPr>
      <w:r>
        <w:rPr>
          <w:rFonts w:ascii="Calibri" w:hAnsi="Calibri"/>
          <w:b/>
          <w:i w:val="0"/>
          <w:color w:val="09A0B3"/>
          <w:sz w:val="17"/>
        </w:rPr>
        <w:t xml:space="preserve">EFFECTIVE  </w:t>
      </w:r>
      <w:r>
        <w:rPr>
          <w:rFonts w:ascii="Calibri" w:hAnsi="Calibri"/>
          <w:b/>
          <w:i w:val="0"/>
          <w:color w:val="173F48"/>
          <w:sz w:val="21"/>
        </w:rPr>
        <w:t>24 August 2026</w:t>
      </w:r>
    </w:p>
    <w:p>
      <w:pPr>
        <w:spacing w:after="60"/>
      </w:pPr>
      <w:r>
        <w:rPr>
          <w:rFonts w:ascii="Calibri" w:hAnsi="Calibri"/>
          <w:b/>
          <w:i w:val="0"/>
          <w:color w:val="09A0B3"/>
          <w:sz w:val="17"/>
        </w:rPr>
        <w:t xml:space="preserve">STATUS  </w:t>
      </w:r>
      <w:r>
        <w:rPr>
          <w:rFonts w:ascii="Calibri" w:hAnsi="Calibri"/>
          <w:b/>
          <w:i w:val="0"/>
          <w:color w:val="173F48"/>
          <w:sz w:val="21"/>
        </w:rPr>
        <w:t>Public enterprise policy</w:t>
      </w:r>
    </w:p>
    <w:p>
      <w:pPr>
        <w:spacing w:after="60"/>
      </w:pPr>
      <w:r>
        <w:rPr>
          <w:rFonts w:ascii="Calibri" w:hAnsi="Calibri"/>
          <w:b/>
          <w:i w:val="0"/>
          <w:color w:val="09A0B3"/>
          <w:sz w:val="17"/>
        </w:rPr>
        <w:t xml:space="preserve">ORGANIZATION  </w:t>
      </w:r>
      <w:r>
        <w:rPr>
          <w:rFonts w:ascii="Calibri" w:hAnsi="Calibri"/>
          <w:b/>
          <w:i w:val="0"/>
          <w:color w:val="173F48"/>
          <w:sz w:val="21"/>
        </w:rPr>
        <w:t>Aries AI</w:t>
      </w:r>
    </w:p>
    <w:p>
      <w:pPr>
        <w:spacing w:after="60"/>
      </w:pPr>
      <w:r>
        <w:rPr>
          <w:rFonts w:ascii="Calibri" w:hAnsi="Calibri"/>
          <w:b/>
          <w:i w:val="0"/>
          <w:color w:val="09A0B3"/>
          <w:sz w:val="17"/>
        </w:rPr>
        <w:t xml:space="preserve">SERVICE  </w:t>
      </w:r>
      <w:r>
        <w:rPr>
          <w:rFonts w:ascii="Calibri" w:hAnsi="Calibri"/>
          <w:b/>
          <w:i w:val="0"/>
          <w:color w:val="173F48"/>
          <w:sz w:val="21"/>
        </w:rPr>
        <w:t>Aries Reach</w:t>
      </w:r>
    </w:p>
    <w:p>
      <w:pPr>
        <w:spacing w:after="60"/>
      </w:pPr>
      <w:r>
        <w:rPr>
          <w:rFonts w:ascii="Calibri" w:hAnsi="Calibri"/>
          <w:b/>
          <w:i w:val="0"/>
          <w:color w:val="09A0B3"/>
          <w:sz w:val="17"/>
        </w:rPr>
        <w:t xml:space="preserve">BILLING CONTACT  </w:t>
      </w:r>
      <w:r>
        <w:rPr>
          <w:rFonts w:ascii="Calibri" w:hAnsi="Calibri"/>
          <w:b/>
          <w:i w:val="0"/>
          <w:color w:val="173F48"/>
          <w:sz w:val="21"/>
        </w:rPr>
        <w:t>info@ariesai.ai</w:t>
      </w:r>
    </w:p>
    <w:tbl>
      <w:tblPr>
        <w:tblW w:type="dxa" w:w="9360"/>
        <w:jc w:val="left"/>
        <w:tblLayout w:type="fixed"/>
        <w:tblLook w:firstColumn="1" w:firstRow="1" w:lastColumn="0" w:lastRow="0" w:noHBand="0" w:noVBand="1" w:val="04A0"/>
        <w:tblInd w:w="120" w:type="dxa"/>
        <w:tblBorders>
          <w:top w:val="single" w:sz="8" w:space="0" w:color="A9DBD5"/>
          <w:left w:val="single" w:sz="8" w:space="0" w:color="A9DBD5"/>
          <w:bottom w:val="single" w:sz="8" w:space="0" w:color="A9DBD5"/>
          <w:right w:val="single" w:sz="8" w:space="0" w:color="A9DBD5"/>
          <w:insideH w:val="single" w:sz="8" w:space="0" w:color="A9DBD5"/>
          <w:insideV w:val="single" w:sz="8" w:space="0" w:color="A9DBD5"/>
        </w:tblBorders>
      </w:tblPr>
      <w:tblGrid>
        <w:gridCol w:w="9360"/>
      </w:tblGrid>
      <w:tr>
        <w:tc>
          <w:tcPr>
            <w:tcW w:type="dxa" w:w="9360"/>
            <w:tcMar>
              <w:top w:w="80" w:type="dxa"/>
              <w:start w:w="120" w:type="dxa"/>
              <w:bottom w:w="80" w:type="dxa"/>
              <w:end w:w="120" w:type="dxa"/>
            </w:tcMar>
            <w:shd w:fill="EAF7F5"/>
          </w:tcPr>
          <w:p>
            <w:pPr>
              <w:spacing w:after="40"/>
            </w:pPr>
            <w:r>
              <w:rPr>
                <w:rFonts w:ascii="Calibri" w:hAnsi="Calibri"/>
                <w:b/>
                <w:i w:val="0"/>
                <w:color w:val="09A0B3"/>
                <w:sz w:val="18"/>
              </w:rPr>
              <w:t xml:space="preserve">AGREEMENT PRIORITY  </w:t>
            </w:r>
            <w:r>
              <w:rPr>
                <w:rFonts w:ascii="Calibri" w:hAnsi="Calibri"/>
                <w:b w:val="0"/>
                <w:i w:val="0"/>
                <w:color w:val="173F48"/>
                <w:sz w:val="21"/>
              </w:rPr>
              <w:t>The applicable Order Form, master services agreement and service schedule control pricing, subscription term, renewal, cancellation, credits and refund rights. This public Policy supplies clear defaults only where the binding Agreement is silent.</w:t>
            </w:r>
          </w:p>
        </w:tc>
      </w:tr>
    </w:tbl>
    <w:p>
      <w:pPr>
        <w:spacing w:after="0"/>
      </w:pPr>
    </w:p>
    <w:p>
      <w:pPr>
        <w:spacing w:before="240" w:after="0"/>
      </w:pPr>
      <w:r>
        <w:rPr>
          <w:rFonts w:ascii="Calibri" w:hAnsi="Calibri"/>
          <w:b w:val="0"/>
          <w:i/>
          <w:color w:val="5F7A81"/>
          <w:sz w:val="18"/>
        </w:rPr>
        <w:t>Legal review note: This draft is prepared for enterprise procurement and billing transparency. Aries AI should obtain advice from qualified counsel before formal adoption, including review of mandatory consumer and payment laws in each market.</w:t>
      </w:r>
    </w:p>
    <w:p>
      <w:r>
        <w:br w:type="page"/>
      </w:r>
    </w:p>
    <w:p>
      <w:pPr>
        <w:pStyle w:val="Heading1"/>
      </w:pPr>
      <w:r>
        <w:t>1. Purpose and scope</w:t>
      </w:r>
    </w:p>
    <w:p>
      <w:r>
        <w:rPr>
          <w:rFonts w:ascii="Calibri" w:hAnsi="Calibri"/>
          <w:b w:val="0"/>
          <w:i w:val="0"/>
          <w:color w:val="2F4F57"/>
          <w:sz w:val="22"/>
        </w:rPr>
        <w:t>This Refund and Cancellation Policy ("Policy") explains how Aries AI handles cancellations, non-renewal, plan changes, billing corrections, service credits and refunds for Aries Reach subscriptions, implementation services and related paid offerings. It applies to enterprise Orders and, where offered, self-service or trial plans.</w:t>
      </w:r>
    </w:p>
    <w:p>
      <w:r>
        <w:rPr>
          <w:rFonts w:ascii="Calibri" w:hAnsi="Calibri"/>
          <w:b w:val="0"/>
          <w:i w:val="0"/>
          <w:color w:val="2F4F57"/>
          <w:sz w:val="22"/>
        </w:rPr>
        <w:t>The Aries AI contracting entity and the Customer are identified in the applicable Order Form or checkout record. Capitalized terms not defined in this Policy have the meaning given in the Aries Reach Enterprise Terms of Service or the Agreement.</w:t>
      </w:r>
    </w:p>
    <w:tbl>
      <w:tblPr>
        <w:tblW w:type="dxa" w:w="9360"/>
        <w:jc w:val="left"/>
        <w:tblLayout w:type="fixed"/>
        <w:tblLook w:firstColumn="1" w:firstRow="1" w:lastColumn="0" w:lastRow="0" w:noHBand="0" w:noVBand="1" w:val="04A0"/>
        <w:tblInd w:w="120" w:type="dxa"/>
        <w:tblBorders>
          <w:top w:val="single" w:sz="8" w:space="0" w:color="A9DBD5"/>
          <w:left w:val="single" w:sz="8" w:space="0" w:color="A9DBD5"/>
          <w:bottom w:val="single" w:sz="8" w:space="0" w:color="A9DBD5"/>
          <w:right w:val="single" w:sz="8" w:space="0" w:color="A9DBD5"/>
          <w:insideH w:val="single" w:sz="8" w:space="0" w:color="A9DBD5"/>
          <w:insideV w:val="single" w:sz="8" w:space="0" w:color="A9DBD5"/>
        </w:tblBorders>
      </w:tblPr>
      <w:tblGrid>
        <w:gridCol w:w="9360"/>
      </w:tblGrid>
      <w:tr>
        <w:tc>
          <w:tcPr>
            <w:tcW w:type="dxa" w:w="9360"/>
            <w:tcMar>
              <w:top w:w="80" w:type="dxa"/>
              <w:start w:w="120" w:type="dxa"/>
              <w:bottom w:w="80" w:type="dxa"/>
              <w:end w:w="120" w:type="dxa"/>
            </w:tcMar>
            <w:shd w:fill="EAF7F5"/>
          </w:tcPr>
          <w:p>
            <w:pPr>
              <w:spacing w:after="40"/>
            </w:pPr>
            <w:r>
              <w:rPr>
                <w:rFonts w:ascii="Calibri" w:hAnsi="Calibri"/>
                <w:b/>
                <w:i w:val="0"/>
                <w:color w:val="09A0B3"/>
                <w:sz w:val="18"/>
              </w:rPr>
              <w:t xml:space="preserve">NO CONFLICT  </w:t>
            </w:r>
            <w:r>
              <w:rPr>
                <w:rFonts w:ascii="Calibri" w:hAnsi="Calibri"/>
                <w:b w:val="0"/>
                <w:i w:val="0"/>
                <w:color w:val="173F48"/>
                <w:sz w:val="21"/>
              </w:rPr>
              <w:t>If this Policy conflicts with an executed Order Form, master services agreement, service-level schedule, statement of work or mandatory law, that document or law controls for the relevant subject matter.</w:t>
            </w:r>
          </w:p>
        </w:tc>
      </w:tr>
    </w:tbl>
    <w:p>
      <w:pPr>
        <w:spacing w:after="0"/>
      </w:pPr>
    </w:p>
    <w:p>
      <w:pPr>
        <w:pStyle w:val="Heading1"/>
      </w:pPr>
      <w:r>
        <w:t>2. Commercial models</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2700"/>
        <w:gridCol w:w="6660"/>
      </w:tblGrid>
      <w:tr>
        <w:trPr>
          <w:tblHeader w:val="true"/>
        </w:trPr>
        <w:tc>
          <w:tcPr>
            <w:tcW w:type="dxa" w:w="2700"/>
            <w:tcMar>
              <w:top w:w="80" w:type="dxa"/>
              <w:start w:w="120" w:type="dxa"/>
              <w:bottom w:w="80" w:type="dxa"/>
              <w:end w:w="120" w:type="dxa"/>
            </w:tcMar>
            <w:shd w:fill="F2F4F7"/>
          </w:tcPr>
          <w:p>
            <w:pPr>
              <w:spacing w:after="0"/>
            </w:pPr>
            <w:r>
              <w:rPr>
                <w:rFonts w:ascii="Calibri" w:hAnsi="Calibri"/>
                <w:b/>
                <w:i w:val="0"/>
                <w:color w:val="173F48"/>
                <w:sz w:val="18"/>
              </w:rPr>
              <w:t>PURCHASE MODEL</w:t>
            </w:r>
          </w:p>
        </w:tc>
        <w:tc>
          <w:tcPr>
            <w:tcW w:type="dxa" w:w="6660"/>
            <w:tcMar>
              <w:top w:w="80" w:type="dxa"/>
              <w:start w:w="120" w:type="dxa"/>
              <w:bottom w:w="80" w:type="dxa"/>
              <w:end w:w="120" w:type="dxa"/>
            </w:tcMar>
            <w:shd w:fill="F2F4F7"/>
          </w:tcPr>
          <w:p>
            <w:pPr>
              <w:spacing w:after="0"/>
            </w:pPr>
            <w:r>
              <w:rPr>
                <w:rFonts w:ascii="Calibri" w:hAnsi="Calibri"/>
                <w:b/>
                <w:i w:val="0"/>
                <w:color w:val="173F48"/>
                <w:sz w:val="18"/>
              </w:rPr>
              <w:t>CONTROLLING COMMERCIAL RULE</w:t>
            </w:r>
          </w:p>
        </w:tc>
      </w:tr>
      <w:tr>
        <w:tc>
          <w:tcPr>
            <w:tcW w:type="dxa" w:w="2700"/>
            <w:vAlign w:val="center"/>
            <w:tcMar>
              <w:top w:w="80" w:type="dxa"/>
              <w:start w:w="120" w:type="dxa"/>
              <w:bottom w:w="80" w:type="dxa"/>
              <w:end w:w="120" w:type="dxa"/>
            </w:tcMar>
          </w:tcPr>
          <w:p>
            <w:pPr>
              <w:spacing w:after="0"/>
            </w:pPr>
            <w:r>
              <w:rPr>
                <w:rFonts w:ascii="Calibri" w:hAnsi="Calibri"/>
                <w:b w:val="0"/>
                <w:i w:val="0"/>
                <w:color w:val="2F4F57"/>
                <w:sz w:val="18"/>
              </w:rPr>
              <w:t>Enterprise subscription</w:t>
            </w:r>
          </w:p>
        </w:tc>
        <w:tc>
          <w:tcPr>
            <w:tcW w:type="dxa" w:w="6660"/>
            <w:vAlign w:val="center"/>
            <w:tcMar>
              <w:top w:w="80" w:type="dxa"/>
              <w:start w:w="120" w:type="dxa"/>
              <w:bottom w:w="80" w:type="dxa"/>
              <w:end w:w="120" w:type="dxa"/>
            </w:tcMar>
          </w:tcPr>
          <w:p>
            <w:pPr>
              <w:spacing w:after="0"/>
            </w:pPr>
            <w:r>
              <w:rPr>
                <w:rFonts w:ascii="Calibri" w:hAnsi="Calibri"/>
                <w:b w:val="0"/>
                <w:i w:val="0"/>
                <w:color w:val="2F4F57"/>
                <w:sz w:val="18"/>
              </w:rPr>
              <w:t>Term, fees, invoicing, renewal and cancellation follow the Order Form. Enterprise commitments may include reserved capacity, implementation and Customer-specific deployment.</w:t>
            </w:r>
          </w:p>
        </w:tc>
      </w:tr>
      <w:tr>
        <w:tc>
          <w:tcPr>
            <w:tcW w:type="dxa" w:w="2700"/>
            <w:vAlign w:val="center"/>
            <w:tcMar>
              <w:top w:w="80" w:type="dxa"/>
              <w:start w:w="120" w:type="dxa"/>
              <w:bottom w:w="80" w:type="dxa"/>
              <w:end w:w="120" w:type="dxa"/>
            </w:tcMar>
          </w:tcPr>
          <w:p>
            <w:pPr>
              <w:spacing w:after="0"/>
            </w:pPr>
            <w:r>
              <w:rPr>
                <w:rFonts w:ascii="Calibri" w:hAnsi="Calibri"/>
                <w:b w:val="0"/>
                <w:i w:val="0"/>
                <w:color w:val="2F4F57"/>
                <w:sz w:val="18"/>
              </w:rPr>
              <w:t>Pilot or proof of value</w:t>
            </w:r>
          </w:p>
        </w:tc>
        <w:tc>
          <w:tcPr>
            <w:tcW w:type="dxa" w:w="6660"/>
            <w:vAlign w:val="center"/>
            <w:tcMar>
              <w:top w:w="80" w:type="dxa"/>
              <w:start w:w="120" w:type="dxa"/>
              <w:bottom w:w="80" w:type="dxa"/>
              <w:end w:w="120" w:type="dxa"/>
            </w:tcMar>
          </w:tcPr>
          <w:p>
            <w:pPr>
              <w:spacing w:after="0"/>
            </w:pPr>
            <w:r>
              <w:rPr>
                <w:rFonts w:ascii="Calibri" w:hAnsi="Calibri"/>
                <w:b w:val="0"/>
                <w:i w:val="0"/>
                <w:color w:val="2F4F57"/>
                <w:sz w:val="18"/>
              </w:rPr>
              <w:t>Duration, scope, success criteria, conversion and any pilot fee follow the written pilot Order or statement of work.</w:t>
            </w:r>
          </w:p>
        </w:tc>
      </w:tr>
      <w:tr>
        <w:tc>
          <w:tcPr>
            <w:tcW w:type="dxa" w:w="2700"/>
            <w:vAlign w:val="center"/>
            <w:tcMar>
              <w:top w:w="80" w:type="dxa"/>
              <w:start w:w="120" w:type="dxa"/>
              <w:bottom w:w="80" w:type="dxa"/>
              <w:end w:w="120" w:type="dxa"/>
            </w:tcMar>
          </w:tcPr>
          <w:p>
            <w:pPr>
              <w:spacing w:after="0"/>
            </w:pPr>
            <w:r>
              <w:rPr>
                <w:rFonts w:ascii="Calibri" w:hAnsi="Calibri"/>
                <w:b w:val="0"/>
                <w:i w:val="0"/>
                <w:color w:val="2F4F57"/>
                <w:sz w:val="18"/>
              </w:rPr>
              <w:t>Self-service plan, if offered</w:t>
            </w:r>
          </w:p>
        </w:tc>
        <w:tc>
          <w:tcPr>
            <w:tcW w:type="dxa" w:w="6660"/>
            <w:vAlign w:val="center"/>
            <w:tcMar>
              <w:top w:w="80" w:type="dxa"/>
              <w:start w:w="120" w:type="dxa"/>
              <w:bottom w:w="80" w:type="dxa"/>
              <w:end w:w="120" w:type="dxa"/>
            </w:tcMar>
          </w:tcPr>
          <w:p>
            <w:pPr>
              <w:spacing w:after="0"/>
            </w:pPr>
            <w:r>
              <w:rPr>
                <w:rFonts w:ascii="Calibri" w:hAnsi="Calibri"/>
                <w:b w:val="0"/>
                <w:i w:val="0"/>
                <w:color w:val="2F4F57"/>
                <w:sz w:val="18"/>
              </w:rPr>
              <w:t>Pricing, billing cycle and renewal disclosures shown at checkout apply together with this Policy and the Terms.</w:t>
            </w:r>
          </w:p>
        </w:tc>
      </w:tr>
      <w:tr>
        <w:tc>
          <w:tcPr>
            <w:tcW w:type="dxa" w:w="2700"/>
            <w:vAlign w:val="center"/>
            <w:tcMar>
              <w:top w:w="80" w:type="dxa"/>
              <w:start w:w="120" w:type="dxa"/>
              <w:bottom w:w="80" w:type="dxa"/>
              <w:end w:w="120" w:type="dxa"/>
            </w:tcMar>
          </w:tcPr>
          <w:p>
            <w:pPr>
              <w:spacing w:after="0"/>
            </w:pPr>
            <w:r>
              <w:rPr>
                <w:rFonts w:ascii="Calibri" w:hAnsi="Calibri"/>
                <w:b w:val="0"/>
                <w:i w:val="0"/>
                <w:color w:val="2F4F57"/>
                <w:sz w:val="18"/>
              </w:rPr>
              <w:t>Professional services</w:t>
            </w:r>
          </w:p>
        </w:tc>
        <w:tc>
          <w:tcPr>
            <w:tcW w:type="dxa" w:w="6660"/>
            <w:vAlign w:val="center"/>
            <w:tcMar>
              <w:top w:w="80" w:type="dxa"/>
              <w:start w:w="120" w:type="dxa"/>
              <w:bottom w:w="80" w:type="dxa"/>
              <w:end w:w="120" w:type="dxa"/>
            </w:tcMar>
          </w:tcPr>
          <w:p>
            <w:pPr>
              <w:spacing w:after="0"/>
            </w:pPr>
            <w:r>
              <w:rPr>
                <w:rFonts w:ascii="Calibri" w:hAnsi="Calibri"/>
                <w:b w:val="0"/>
                <w:i w:val="0"/>
                <w:color w:val="2F4F57"/>
                <w:sz w:val="18"/>
              </w:rPr>
              <w:t>Implementation, integration, configuration, training or advisory services follow the applicable statement of work and delivery milestones.</w:t>
            </w:r>
          </w:p>
        </w:tc>
      </w:tr>
    </w:tbl>
    <w:p>
      <w:pPr>
        <w:pStyle w:val="Heading1"/>
      </w:pPr>
      <w:r>
        <w:t>3. Order review and authorization</w:t>
      </w:r>
    </w:p>
    <w:p>
      <w:r>
        <w:rPr>
          <w:rFonts w:ascii="Calibri" w:hAnsi="Calibri"/>
          <w:b w:val="0"/>
          <w:i w:val="0"/>
          <w:color w:val="2F4F57"/>
          <w:sz w:val="22"/>
        </w:rPr>
        <w:t>Before an Order is accepted, the Customer should review the subscribed services, deployment, quantity or usage assumptions, subscription term, renewal mechanism, fees, taxes, payment schedule and authorized billing contact. A person submitting or signing an Order represents that they are authorized to bind the Customer.</w:t>
      </w:r>
    </w:p>
    <w:p>
      <w:r>
        <w:rPr>
          <w:rFonts w:ascii="Calibri" w:hAnsi="Calibri"/>
          <w:b w:val="0"/>
          <w:i w:val="0"/>
          <w:color w:val="2F4F57"/>
          <w:sz w:val="22"/>
        </w:rPr>
        <w:t>Aries AI will correct a demonstrable duplicate charge, arithmetic error or charge inconsistent with the accepted Order. A purchase is not treated as accidental solely because an authorized user later decides that the Customer no longer needs the service.</w:t>
      </w:r>
    </w:p>
    <w:p>
      <w:pPr>
        <w:pStyle w:val="Heading1"/>
      </w:pPr>
      <w:r>
        <w:t>4. Trials, evaluations and demonstrations</w:t>
      </w:r>
    </w:p>
    <w:p>
      <w:r>
        <w:rPr>
          <w:rFonts w:ascii="Calibri" w:hAnsi="Calibri"/>
          <w:b w:val="0"/>
          <w:i w:val="0"/>
          <w:color w:val="2F4F57"/>
          <w:sz w:val="22"/>
        </w:rPr>
        <w:t>Aries AI may offer a demonstration, sandbox, trial or proof of value. Availability, capability, data limits, support and duration depend on the written offer. A trial is not permanent and may not include every production feature, integration, security control or service level.</w:t>
      </w:r>
    </w:p>
    <w:p>
      <w:r>
        <w:rPr>
          <w:rFonts w:ascii="Calibri" w:hAnsi="Calibri"/>
          <w:b w:val="0"/>
          <w:i w:val="0"/>
          <w:color w:val="2F4F57"/>
          <w:sz w:val="22"/>
        </w:rPr>
        <w:t>A paid plan begins only through an accepted Order, checkout confirmation or other authorized conversion. Where a trial converts automatically, the conversion date, price and cancellation method must be disclosed before conversion. Mandatory consent and withdrawal rights remain unaffected.</w:t>
      </w:r>
    </w:p>
    <w:p>
      <w:pPr>
        <w:pStyle w:val="Heading1"/>
      </w:pPr>
      <w:r>
        <w:t>5. Cancellation and non-renewal</w:t>
      </w:r>
    </w:p>
    <w:p>
      <w:r>
        <w:rPr>
          <w:rFonts w:ascii="Calibri" w:hAnsi="Calibri"/>
          <w:b w:val="0"/>
          <w:i w:val="0"/>
          <w:color w:val="2F4F57"/>
          <w:sz w:val="22"/>
        </w:rPr>
        <w:t>Cancellation prevents a future renewal or future billing event; it does not ordinarily terminate a committed subscription early or reverse fees already due. The cancellation or non-renewal notice period and delivery method are stated in the Order Form.</w:t>
      </w:r>
    </w:p>
    <w:p>
      <w:pPr>
        <w:spacing w:after="160" w:line="280" w:lineRule="auto"/>
        <w:numPr>
          <w:ilvl w:val="0"/>
          <w:numId w:val="10"/>
        </w:numPr>
      </w:pPr>
      <w:r>
        <w:rPr>
          <w:rFonts w:ascii="Calibri" w:hAnsi="Calibri"/>
          <w:b w:val="0"/>
          <w:i w:val="0"/>
          <w:color w:val="2F4F57"/>
          <w:sz w:val="22"/>
        </w:rPr>
        <w:t>If the Order Form is silent, the enterprise subscription does not automatically renew and continued service requires a new or extended written Order.</w:t>
      </w:r>
    </w:p>
    <w:p>
      <w:pPr>
        <w:spacing w:after="160" w:line="280" w:lineRule="auto"/>
        <w:numPr>
          <w:ilvl w:val="0"/>
          <w:numId w:val="10"/>
        </w:numPr>
      </w:pPr>
      <w:r>
        <w:rPr>
          <w:rFonts w:ascii="Calibri" w:hAnsi="Calibri"/>
          <w:b w:val="0"/>
          <w:i w:val="0"/>
          <w:color w:val="2F4F57"/>
          <w:sz w:val="22"/>
        </w:rPr>
        <w:t>A self-service recurring plan, if offered, may be cancelled through the account or designated support channel before the next billing date.</w:t>
      </w:r>
    </w:p>
    <w:p>
      <w:pPr>
        <w:spacing w:after="160" w:line="280" w:lineRule="auto"/>
        <w:numPr>
          <w:ilvl w:val="0"/>
          <w:numId w:val="10"/>
        </w:numPr>
      </w:pPr>
      <w:r>
        <w:rPr>
          <w:rFonts w:ascii="Calibri" w:hAnsi="Calibri"/>
          <w:b w:val="0"/>
          <w:i w:val="0"/>
          <w:color w:val="2F4F57"/>
          <w:sz w:val="22"/>
        </w:rPr>
        <w:t>Unless the Agreement states otherwise, access continues through the paid term after a valid non-renewal notice, subject to the Terms and payment of amounts due.</w:t>
      </w:r>
    </w:p>
    <w:p>
      <w:pPr>
        <w:spacing w:after="160" w:line="280" w:lineRule="auto"/>
        <w:numPr>
          <w:ilvl w:val="0"/>
          <w:numId w:val="10"/>
        </w:numPr>
      </w:pPr>
      <w:r>
        <w:rPr>
          <w:rFonts w:ascii="Calibri" w:hAnsi="Calibri"/>
          <w:b w:val="0"/>
          <w:i w:val="0"/>
          <w:color w:val="2F4F57"/>
          <w:sz w:val="22"/>
        </w:rPr>
        <w:t>The Customer should export required Customer Data before access ends. Return and deletion follow the Agreement and DPA.</w:t>
      </w:r>
    </w:p>
    <w:p>
      <w:pPr>
        <w:pStyle w:val="Heading1"/>
      </w:pPr>
      <w:r>
        <w:t>6. Downgrades, quantity reductions and scope changes</w:t>
      </w:r>
    </w:p>
    <w:p>
      <w:r>
        <w:rPr>
          <w:rFonts w:ascii="Calibri" w:hAnsi="Calibri"/>
          <w:b w:val="0"/>
          <w:i w:val="0"/>
          <w:color w:val="2F4F57"/>
          <w:sz w:val="22"/>
        </w:rPr>
        <w:t>A downgrade, reduction in users, locations, channels, usage, capacity or deployment scope normally takes effect at the next renewal or as stated in a written amendment. It does not create a retrospective credit for capacity reserved or made available during the current term.</w:t>
      </w:r>
    </w:p>
    <w:p>
      <w:r>
        <w:rPr>
          <w:rFonts w:ascii="Calibri" w:hAnsi="Calibri"/>
          <w:b w:val="0"/>
          <w:i w:val="0"/>
          <w:color w:val="2F4F57"/>
          <w:sz w:val="22"/>
        </w:rPr>
        <w:t>If Aries AI accepts a mid-term change, the parties will document its effective date, service impact, implementation work and any commercial adjustment. Aries AI is not required to issue a cash refund where an agreed credit, extension or scope substitution reasonably resolves the change.</w:t>
      </w:r>
    </w:p>
    <w:p>
      <w:pPr>
        <w:pStyle w:val="Heading1"/>
      </w:pPr>
      <w:r>
        <w:t>7. General refund rule</w:t>
      </w:r>
    </w:p>
    <w:p>
      <w:r>
        <w:rPr>
          <w:rFonts w:ascii="Calibri" w:hAnsi="Calibri"/>
          <w:b w:val="0"/>
          <w:i w:val="0"/>
          <w:color w:val="2F4F57"/>
          <w:sz w:val="22"/>
        </w:rPr>
        <w:t>Except for the qualifying circumstances in this Policy, the Agreement or mandatory law, committed subscription fees are non-cancellable and fees paid are non-refundable after the applicable service term begins. This reflects reserved capacity, licensing, implementation planning, support readiness and Customer-specific deployment obligations.</w:t>
      </w:r>
    </w:p>
    <w:p>
      <w:r>
        <w:rPr>
          <w:rFonts w:ascii="Calibri" w:hAnsi="Calibri"/>
          <w:b w:val="0"/>
          <w:i w:val="0"/>
          <w:color w:val="2F4F57"/>
          <w:sz w:val="22"/>
        </w:rPr>
        <w:t>The non-refund rule does not remove remedies for Aries AI's uncured material breach, verified billing errors, legally required refunds or express contractual commitments.</w:t>
      </w:r>
    </w:p>
    <w:p>
      <w:pPr>
        <w:pStyle w:val="Heading1"/>
      </w:pPr>
      <w:r>
        <w:t>8. When a refund or credit may be available</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3260"/>
        <w:gridCol w:w="6100"/>
      </w:tblGrid>
      <w:tr>
        <w:trPr>
          <w:tblHeader w:val="true"/>
        </w:trPr>
        <w:tc>
          <w:tcPr>
            <w:tcW w:type="dxa" w:w="3260"/>
            <w:tcMar>
              <w:top w:w="80" w:type="dxa"/>
              <w:start w:w="120" w:type="dxa"/>
              <w:bottom w:w="80" w:type="dxa"/>
              <w:end w:w="120" w:type="dxa"/>
            </w:tcMar>
            <w:shd w:fill="F2F4F7"/>
          </w:tcPr>
          <w:p>
            <w:pPr>
              <w:spacing w:after="0"/>
            </w:pPr>
            <w:r>
              <w:rPr>
                <w:rFonts w:ascii="Calibri" w:hAnsi="Calibri"/>
                <w:b/>
                <w:i w:val="0"/>
                <w:color w:val="173F48"/>
                <w:sz w:val="18"/>
              </w:rPr>
              <w:t>QUALIFYING EVENT</w:t>
            </w:r>
          </w:p>
        </w:tc>
        <w:tc>
          <w:tcPr>
            <w:tcW w:type="dxa" w:w="6100"/>
            <w:tcMar>
              <w:top w:w="80" w:type="dxa"/>
              <w:start w:w="120" w:type="dxa"/>
              <w:bottom w:w="80" w:type="dxa"/>
              <w:end w:w="120" w:type="dxa"/>
            </w:tcMar>
            <w:shd w:fill="F2F4F7"/>
          </w:tcPr>
          <w:p>
            <w:pPr>
              <w:spacing w:after="0"/>
            </w:pPr>
            <w:r>
              <w:rPr>
                <w:rFonts w:ascii="Calibri" w:hAnsi="Calibri"/>
                <w:b/>
                <w:i w:val="0"/>
                <w:color w:val="173F48"/>
                <w:sz w:val="18"/>
              </w:rPr>
              <w:t>TYPICAL REMEDY</w:t>
            </w:r>
          </w:p>
        </w:tc>
      </w:tr>
      <w:tr>
        <w:tc>
          <w:tcPr>
            <w:tcW w:type="dxa" w:w="3260"/>
            <w:vAlign w:val="center"/>
            <w:tcMar>
              <w:top w:w="80" w:type="dxa"/>
              <w:start w:w="120" w:type="dxa"/>
              <w:bottom w:w="80" w:type="dxa"/>
              <w:end w:w="120" w:type="dxa"/>
            </w:tcMar>
          </w:tcPr>
          <w:p>
            <w:pPr>
              <w:spacing w:after="0"/>
            </w:pPr>
            <w:r>
              <w:rPr>
                <w:rFonts w:ascii="Calibri" w:hAnsi="Calibri"/>
                <w:b w:val="0"/>
                <w:i w:val="0"/>
                <w:color w:val="2F4F57"/>
                <w:sz w:val="18"/>
              </w:rPr>
              <w:t>Duplicate or incorrect charge</w:t>
            </w:r>
          </w:p>
        </w:tc>
        <w:tc>
          <w:tcPr>
            <w:tcW w:type="dxa" w:w="6100"/>
            <w:vAlign w:val="center"/>
            <w:tcMar>
              <w:top w:w="80" w:type="dxa"/>
              <w:start w:w="120" w:type="dxa"/>
              <w:bottom w:w="80" w:type="dxa"/>
              <w:end w:w="120" w:type="dxa"/>
            </w:tcMar>
          </w:tcPr>
          <w:p>
            <w:pPr>
              <w:spacing w:after="0"/>
            </w:pPr>
            <w:r>
              <w:rPr>
                <w:rFonts w:ascii="Calibri" w:hAnsi="Calibri"/>
                <w:b w:val="0"/>
                <w:i w:val="0"/>
                <w:color w:val="2F4F57"/>
                <w:sz w:val="18"/>
              </w:rPr>
              <w:t>Correction or refund of the verified excess amount.</w:t>
            </w:r>
          </w:p>
        </w:tc>
      </w:tr>
      <w:tr>
        <w:tc>
          <w:tcPr>
            <w:tcW w:type="dxa" w:w="3260"/>
            <w:vAlign w:val="center"/>
            <w:tcMar>
              <w:top w:w="80" w:type="dxa"/>
              <w:start w:w="120" w:type="dxa"/>
              <w:bottom w:w="80" w:type="dxa"/>
              <w:end w:w="120" w:type="dxa"/>
            </w:tcMar>
          </w:tcPr>
          <w:p>
            <w:pPr>
              <w:spacing w:after="0"/>
            </w:pPr>
            <w:r>
              <w:rPr>
                <w:rFonts w:ascii="Calibri" w:hAnsi="Calibri"/>
                <w:b w:val="0"/>
                <w:i w:val="0"/>
                <w:color w:val="2F4F57"/>
                <w:sz w:val="18"/>
              </w:rPr>
              <w:t>Charge outside an accepted Order</w:t>
            </w:r>
          </w:p>
        </w:tc>
        <w:tc>
          <w:tcPr>
            <w:tcW w:type="dxa" w:w="6100"/>
            <w:vAlign w:val="center"/>
            <w:tcMar>
              <w:top w:w="80" w:type="dxa"/>
              <w:start w:w="120" w:type="dxa"/>
              <w:bottom w:w="80" w:type="dxa"/>
              <w:end w:w="120" w:type="dxa"/>
            </w:tcMar>
          </w:tcPr>
          <w:p>
            <w:pPr>
              <w:spacing w:after="0"/>
            </w:pPr>
            <w:r>
              <w:rPr>
                <w:rFonts w:ascii="Calibri" w:hAnsi="Calibri"/>
                <w:b w:val="0"/>
                <w:i w:val="0"/>
                <w:color w:val="2F4F57"/>
                <w:sz w:val="18"/>
              </w:rPr>
              <w:t>Investigation and refund where Aries AI confirms the charge was unauthorized or inconsistent with the Order.</w:t>
            </w:r>
          </w:p>
        </w:tc>
      </w:tr>
      <w:tr>
        <w:tc>
          <w:tcPr>
            <w:tcW w:type="dxa" w:w="3260"/>
            <w:vAlign w:val="center"/>
            <w:tcMar>
              <w:top w:w="80" w:type="dxa"/>
              <w:start w:w="120" w:type="dxa"/>
              <w:bottom w:w="80" w:type="dxa"/>
              <w:end w:w="120" w:type="dxa"/>
            </w:tcMar>
          </w:tcPr>
          <w:p>
            <w:pPr>
              <w:spacing w:after="0"/>
            </w:pPr>
            <w:r>
              <w:rPr>
                <w:rFonts w:ascii="Calibri" w:hAnsi="Calibri"/>
                <w:b w:val="0"/>
                <w:i w:val="0"/>
                <w:color w:val="2F4F57"/>
                <w:sz w:val="18"/>
              </w:rPr>
              <w:t>Aries AI uncured material breach</w:t>
            </w:r>
          </w:p>
        </w:tc>
        <w:tc>
          <w:tcPr>
            <w:tcW w:type="dxa" w:w="6100"/>
            <w:vAlign w:val="center"/>
            <w:tcMar>
              <w:top w:w="80" w:type="dxa"/>
              <w:start w:w="120" w:type="dxa"/>
              <w:bottom w:w="80" w:type="dxa"/>
              <w:end w:w="120" w:type="dxa"/>
            </w:tcMar>
          </w:tcPr>
          <w:p>
            <w:pPr>
              <w:spacing w:after="0"/>
            </w:pPr>
            <w:r>
              <w:rPr>
                <w:rFonts w:ascii="Calibri" w:hAnsi="Calibri"/>
                <w:b w:val="0"/>
                <w:i w:val="0"/>
                <w:color w:val="2F4F57"/>
                <w:sz w:val="18"/>
              </w:rPr>
              <w:t>Pro-rata refund of prepaid unused fees for the affected terminated Services, as stated in the Terms or Agreement.</w:t>
            </w:r>
          </w:p>
        </w:tc>
      </w:tr>
      <w:tr>
        <w:tc>
          <w:tcPr>
            <w:tcW w:type="dxa" w:w="3260"/>
            <w:vAlign w:val="center"/>
            <w:tcMar>
              <w:top w:w="80" w:type="dxa"/>
              <w:start w:w="120" w:type="dxa"/>
              <w:bottom w:w="80" w:type="dxa"/>
              <w:end w:w="120" w:type="dxa"/>
            </w:tcMar>
          </w:tcPr>
          <w:p>
            <w:pPr>
              <w:spacing w:after="0"/>
            </w:pPr>
            <w:r>
              <w:rPr>
                <w:rFonts w:ascii="Calibri" w:hAnsi="Calibri"/>
                <w:b w:val="0"/>
                <w:i w:val="0"/>
                <w:color w:val="2F4F57"/>
                <w:sz w:val="18"/>
              </w:rPr>
              <w:t>Service discontinuation</w:t>
            </w:r>
          </w:p>
        </w:tc>
        <w:tc>
          <w:tcPr>
            <w:tcW w:type="dxa" w:w="6100"/>
            <w:vAlign w:val="center"/>
            <w:tcMar>
              <w:top w:w="80" w:type="dxa"/>
              <w:start w:w="120" w:type="dxa"/>
              <w:bottom w:w="80" w:type="dxa"/>
              <w:end w:w="120" w:type="dxa"/>
            </w:tcMar>
          </w:tcPr>
          <w:p>
            <w:pPr>
              <w:spacing w:after="0"/>
            </w:pPr>
            <w:r>
              <w:rPr>
                <w:rFonts w:ascii="Calibri" w:hAnsi="Calibri"/>
                <w:b w:val="0"/>
                <w:i w:val="0"/>
                <w:color w:val="2F4F57"/>
                <w:sz w:val="18"/>
              </w:rPr>
              <w:t>Transition, replacement, credit or pro-rata refund where the Agreement requires it and Aries AI cannot provide a reasonable alternative.</w:t>
            </w:r>
          </w:p>
        </w:tc>
      </w:tr>
      <w:tr>
        <w:tc>
          <w:tcPr>
            <w:tcW w:type="dxa" w:w="3260"/>
            <w:vAlign w:val="center"/>
            <w:tcMar>
              <w:top w:w="80" w:type="dxa"/>
              <w:start w:w="120" w:type="dxa"/>
              <w:bottom w:w="80" w:type="dxa"/>
              <w:end w:w="120" w:type="dxa"/>
            </w:tcMar>
          </w:tcPr>
          <w:p>
            <w:pPr>
              <w:spacing w:after="0"/>
            </w:pPr>
            <w:r>
              <w:rPr>
                <w:rFonts w:ascii="Calibri" w:hAnsi="Calibri"/>
                <w:b w:val="0"/>
                <w:i w:val="0"/>
                <w:color w:val="2F4F57"/>
                <w:sz w:val="18"/>
              </w:rPr>
              <w:t>Service-level failure</w:t>
            </w:r>
          </w:p>
        </w:tc>
        <w:tc>
          <w:tcPr>
            <w:tcW w:type="dxa" w:w="6100"/>
            <w:vAlign w:val="center"/>
            <w:tcMar>
              <w:top w:w="80" w:type="dxa"/>
              <w:start w:w="120" w:type="dxa"/>
              <w:bottom w:w="80" w:type="dxa"/>
              <w:end w:w="120" w:type="dxa"/>
            </w:tcMar>
          </w:tcPr>
          <w:p>
            <w:pPr>
              <w:spacing w:after="0"/>
            </w:pPr>
            <w:r>
              <w:rPr>
                <w:rFonts w:ascii="Calibri" w:hAnsi="Calibri"/>
                <w:b w:val="0"/>
                <w:i w:val="0"/>
                <w:color w:val="2F4F57"/>
                <w:sz w:val="18"/>
              </w:rPr>
              <w:t>The service credit or remedy stated in the applicable SLA; cash refund only if that schedule expressly provides it.</w:t>
            </w:r>
          </w:p>
        </w:tc>
      </w:tr>
      <w:tr>
        <w:tc>
          <w:tcPr>
            <w:tcW w:type="dxa" w:w="3260"/>
            <w:vAlign w:val="center"/>
            <w:tcMar>
              <w:top w:w="80" w:type="dxa"/>
              <w:start w:w="120" w:type="dxa"/>
              <w:bottom w:w="80" w:type="dxa"/>
              <w:end w:w="120" w:type="dxa"/>
            </w:tcMar>
          </w:tcPr>
          <w:p>
            <w:pPr>
              <w:spacing w:after="0"/>
            </w:pPr>
            <w:r>
              <w:rPr>
                <w:rFonts w:ascii="Calibri" w:hAnsi="Calibri"/>
                <w:b w:val="0"/>
                <w:i w:val="0"/>
                <w:color w:val="2F4F57"/>
                <w:sz w:val="18"/>
              </w:rPr>
              <w:t>Mandatory legal right</w:t>
            </w:r>
          </w:p>
        </w:tc>
        <w:tc>
          <w:tcPr>
            <w:tcW w:type="dxa" w:w="6100"/>
            <w:vAlign w:val="center"/>
            <w:tcMar>
              <w:top w:w="80" w:type="dxa"/>
              <w:start w:w="120" w:type="dxa"/>
              <w:bottom w:w="80" w:type="dxa"/>
              <w:end w:w="120" w:type="dxa"/>
            </w:tcMar>
          </w:tcPr>
          <w:p>
            <w:pPr>
              <w:spacing w:after="0"/>
            </w:pPr>
            <w:r>
              <w:rPr>
                <w:rFonts w:ascii="Calibri" w:hAnsi="Calibri"/>
                <w:b w:val="0"/>
                <w:i w:val="0"/>
                <w:color w:val="2F4F57"/>
                <w:sz w:val="18"/>
              </w:rPr>
              <w:t>The refund, cancellation or withdrawal remedy required by applicable law.</w:t>
            </w:r>
          </w:p>
        </w:tc>
      </w:tr>
    </w:tbl>
    <w:p>
      <w:pPr>
        <w:pStyle w:val="Heading1"/>
      </w:pPr>
      <w:r>
        <w:t>9. Items normally not refundable</w:t>
      </w:r>
    </w:p>
    <w:p>
      <w:pPr>
        <w:spacing w:after="160" w:line="280" w:lineRule="auto"/>
        <w:numPr>
          <w:ilvl w:val="0"/>
          <w:numId w:val="10"/>
        </w:numPr>
      </w:pPr>
      <w:r>
        <w:rPr>
          <w:rFonts w:ascii="Calibri" w:hAnsi="Calibri"/>
          <w:b w:val="0"/>
          <w:i w:val="0"/>
          <w:color w:val="2F4F57"/>
          <w:sz w:val="22"/>
        </w:rPr>
        <w:t>Cancellation for convenience during a committed term unless the Order Form expressly permits it.</w:t>
      </w:r>
    </w:p>
    <w:p>
      <w:pPr>
        <w:spacing w:after="160" w:line="280" w:lineRule="auto"/>
        <w:numPr>
          <w:ilvl w:val="0"/>
          <w:numId w:val="10"/>
        </w:numPr>
      </w:pPr>
      <w:r>
        <w:rPr>
          <w:rFonts w:ascii="Calibri" w:hAnsi="Calibri"/>
          <w:b w:val="0"/>
          <w:i w:val="0"/>
          <w:color w:val="2F4F57"/>
          <w:sz w:val="22"/>
        </w:rPr>
        <w:t>Unused time, seats, locations, channels, capacity or usage allowances that were made available as contracted.</w:t>
      </w:r>
    </w:p>
    <w:p>
      <w:pPr>
        <w:spacing w:after="160" w:line="280" w:lineRule="auto"/>
        <w:numPr>
          <w:ilvl w:val="0"/>
          <w:numId w:val="10"/>
        </w:numPr>
      </w:pPr>
      <w:r>
        <w:rPr>
          <w:rFonts w:ascii="Calibri" w:hAnsi="Calibri"/>
          <w:b w:val="0"/>
          <w:i w:val="0"/>
          <w:color w:val="2F4F57"/>
          <w:sz w:val="22"/>
        </w:rPr>
        <w:t>A downgrade or reduction requested after the service period begins.</w:t>
      </w:r>
    </w:p>
    <w:p>
      <w:pPr>
        <w:spacing w:after="160" w:line="280" w:lineRule="auto"/>
        <w:numPr>
          <w:ilvl w:val="0"/>
          <w:numId w:val="10"/>
        </w:numPr>
      </w:pPr>
      <w:r>
        <w:rPr>
          <w:rFonts w:ascii="Calibri" w:hAnsi="Calibri"/>
          <w:b w:val="0"/>
          <w:i w:val="0"/>
          <w:color w:val="2F4F57"/>
          <w:sz w:val="22"/>
        </w:rPr>
        <w:t>Implementation, integration, configuration, training or other professional services already performed, accepted or irreversibly committed.</w:t>
      </w:r>
    </w:p>
    <w:p>
      <w:pPr>
        <w:spacing w:after="160" w:line="280" w:lineRule="auto"/>
        <w:numPr>
          <w:ilvl w:val="0"/>
          <w:numId w:val="10"/>
        </w:numPr>
      </w:pPr>
      <w:r>
        <w:rPr>
          <w:rFonts w:ascii="Calibri" w:hAnsi="Calibri"/>
          <w:b w:val="0"/>
          <w:i w:val="0"/>
          <w:color w:val="2F4F57"/>
          <w:sz w:val="22"/>
        </w:rPr>
        <w:t>Customer delay, non-use, internal approval changes, budget changes or failure to deploy where Aries AI remained ready to perform.</w:t>
      </w:r>
    </w:p>
    <w:p>
      <w:pPr>
        <w:spacing w:after="160" w:line="280" w:lineRule="auto"/>
        <w:numPr>
          <w:ilvl w:val="0"/>
          <w:numId w:val="10"/>
        </w:numPr>
      </w:pPr>
      <w:r>
        <w:rPr>
          <w:rFonts w:ascii="Calibri" w:hAnsi="Calibri"/>
          <w:b w:val="0"/>
          <w:i w:val="0"/>
          <w:color w:val="2F4F57"/>
          <w:sz w:val="22"/>
        </w:rPr>
        <w:t>Outages or limitations caused by Customer systems, Customer-selected third parties, misuse, unauthorized changes or events outside Aries AI's reasonable control, except where the Agreement states otherwise.</w:t>
      </w:r>
    </w:p>
    <w:p>
      <w:pPr>
        <w:spacing w:after="160" w:line="280" w:lineRule="auto"/>
        <w:numPr>
          <w:ilvl w:val="0"/>
          <w:numId w:val="10"/>
        </w:numPr>
      </w:pPr>
      <w:r>
        <w:rPr>
          <w:rFonts w:ascii="Calibri" w:hAnsi="Calibri"/>
          <w:b w:val="0"/>
          <w:i w:val="0"/>
          <w:color w:val="2F4F57"/>
          <w:sz w:val="22"/>
        </w:rPr>
        <w:t>Taxes, duties, bank charges, foreign-exchange differences or third-party fees that Aries AI cannot lawfully or reasonably recover.</w:t>
      </w:r>
    </w:p>
    <w:p>
      <w:pPr>
        <w:pStyle w:val="Heading1"/>
      </w:pPr>
      <w:r>
        <w:t>10. Service credits</w:t>
      </w:r>
    </w:p>
    <w:p>
      <w:r>
        <w:rPr>
          <w:rFonts w:ascii="Calibri" w:hAnsi="Calibri"/>
          <w:b w:val="0"/>
          <w:i w:val="0"/>
          <w:color w:val="2F4F57"/>
          <w:sz w:val="22"/>
        </w:rPr>
        <w:t>Where an SLA provides service credits, the Customer must submit the claim within the stated period and provide the information reasonably necessary to validate it. Credits are applied to a future invoice or account balance unless the SLA states another remedy.</w:t>
      </w:r>
    </w:p>
    <w:p>
      <w:r>
        <w:rPr>
          <w:rFonts w:ascii="Calibri" w:hAnsi="Calibri"/>
          <w:b w:val="0"/>
          <w:i w:val="0"/>
          <w:color w:val="2F4F57"/>
          <w:sz w:val="22"/>
        </w:rPr>
        <w:t>A service credit is not a refund and has no cash value unless the Agreement expressly says otherwise. Credit eligibility excludes events and maintenance windows identified in the SLA.</w:t>
      </w:r>
    </w:p>
    <w:p>
      <w:pPr>
        <w:pStyle w:val="Heading1"/>
      </w:pPr>
      <w:r>
        <w:t>11. Billing errors and invoice disputes</w:t>
      </w:r>
    </w:p>
    <w:p>
      <w:r>
        <w:rPr>
          <w:rFonts w:ascii="Calibri" w:hAnsi="Calibri"/>
          <w:b w:val="0"/>
          <w:i w:val="0"/>
          <w:color w:val="2F4F57"/>
          <w:sz w:val="22"/>
        </w:rPr>
        <w:t>The Customer should notify Aries AI promptly after identifying a suspected billing error and, where practicable, before the invoice due date. A request should identify the Customer, Order or subscription, invoice, disputed amount, date, reason and supporting evidence.</w:t>
      </w:r>
    </w:p>
    <w:p>
      <w:r>
        <w:rPr>
          <w:rFonts w:ascii="Calibri" w:hAnsi="Calibri"/>
          <w:b w:val="0"/>
          <w:i w:val="0"/>
          <w:color w:val="2F4F57"/>
          <w:sz w:val="22"/>
        </w:rPr>
        <w:t>The parties will work in good faith to resolve a properly documented dispute. The Customer should pay undisputed amounts when due. Aries AI will not suspend service solely for a good-faith disputed amount while the parties are actively following the agreed resolution process, unless continued service creates a material security, fraud or legal risk.</w:t>
      </w:r>
    </w:p>
    <w:p>
      <w:pPr>
        <w:pStyle w:val="Heading1"/>
      </w:pPr>
      <w:r>
        <w:t>12. Professional services and committed costs</w:t>
      </w:r>
    </w:p>
    <w:p>
      <w:r>
        <w:rPr>
          <w:rFonts w:ascii="Calibri" w:hAnsi="Calibri"/>
          <w:b w:val="0"/>
          <w:i w:val="0"/>
          <w:color w:val="2F4F57"/>
          <w:sz w:val="22"/>
        </w:rPr>
        <w:t>Fees for professional services are refundable only to the extent stated in the statement of work or where the Customer terminates for Aries AI's uncured material breach. Work already delivered, accepted or performed remains payable. Reasonable non-cancellable third-party commitments and approved expenses remain payable unless caused by Aries AI's breach.</w:t>
      </w:r>
    </w:p>
    <w:p>
      <w:r>
        <w:rPr>
          <w:rFonts w:ascii="Calibri" w:hAnsi="Calibri"/>
          <w:b w:val="0"/>
          <w:i w:val="0"/>
          <w:color w:val="2F4F57"/>
          <w:sz w:val="22"/>
        </w:rPr>
        <w:t>If a milestone is rejected under agreed acceptance criteria, Aries AI will first have a reasonable opportunity to correct or re-perform the affected work. If it cannot do so, the remedies in the statement of work or Terms apply.</w:t>
      </w:r>
    </w:p>
    <w:p>
      <w:pPr>
        <w:pStyle w:val="Heading1"/>
      </w:pPr>
      <w:r>
        <w:t>13. Taxes, currency and payment-provider timing</w:t>
      </w:r>
    </w:p>
    <w:p>
      <w:r>
        <w:rPr>
          <w:rFonts w:ascii="Calibri" w:hAnsi="Calibri"/>
          <w:b w:val="0"/>
          <w:i w:val="0"/>
          <w:color w:val="2F4F57"/>
          <w:sz w:val="22"/>
        </w:rPr>
        <w:t>Approved refunds are issued in the original transaction currency and, where practical, through the original payment method. Aries AI is not responsible for exchange-rate movements, intermediary bank charges or payment-provider processing times.</w:t>
      </w:r>
    </w:p>
    <w:p>
      <w:r>
        <w:rPr>
          <w:rFonts w:ascii="Calibri" w:hAnsi="Calibri"/>
          <w:b w:val="0"/>
          <w:i w:val="0"/>
          <w:color w:val="2F4F57"/>
          <w:sz w:val="22"/>
        </w:rPr>
        <w:t>Taxes are refunded only where Aries AI can lawfully reverse or credit them. The Customer is responsible for supplying valid tax documentation and cooperating with any legally required correction process.</w:t>
      </w:r>
    </w:p>
    <w:p>
      <w:pPr>
        <w:pStyle w:val="Heading1"/>
      </w:pPr>
      <w:r>
        <w:t>14. Payment disputes and chargebacks</w:t>
      </w:r>
    </w:p>
    <w:p>
      <w:r>
        <w:rPr>
          <w:rFonts w:ascii="Calibri" w:hAnsi="Calibri"/>
          <w:b w:val="0"/>
          <w:i w:val="0"/>
          <w:color w:val="2F4F57"/>
          <w:sz w:val="22"/>
        </w:rPr>
        <w:t>A Customer that believes a charge is incorrect should contact Aries AI before initiating a chargeback so the matter can be investigated efficiently. Contacting support first is encouraged but does not waive any legal or payment-network right.</w:t>
      </w:r>
    </w:p>
    <w:p>
      <w:r>
        <w:rPr>
          <w:rFonts w:ascii="Calibri" w:hAnsi="Calibri"/>
          <w:b w:val="0"/>
          <w:i w:val="0"/>
          <w:color w:val="2F4F57"/>
          <w:sz w:val="22"/>
        </w:rPr>
        <w:t>Aries AI may provide the payment provider with the Order, invoice, usage and communication records relevant to a dispute. Aries AI may suspend only the affected access where reasonably necessary to address confirmed fraud, material payment default or a security risk, following the notice and cure requirements in the Agreement where feasible.</w:t>
      </w:r>
    </w:p>
    <w:p>
      <w:pPr>
        <w:pStyle w:val="Heading1"/>
      </w:pPr>
      <w:r>
        <w:t>15. Suspension, termination and refunds</w:t>
      </w:r>
    </w:p>
    <w:p>
      <w:r>
        <w:rPr>
          <w:rFonts w:ascii="Calibri" w:hAnsi="Calibri"/>
          <w:b w:val="0"/>
          <w:i w:val="0"/>
          <w:color w:val="2F4F57"/>
          <w:sz w:val="22"/>
        </w:rPr>
        <w:t>Suspension does not by itself cancel the subscription or create a refund. If the Customer's material breach causes suspension or termination, fees accrued and committed under the Agreement remain payable. If the Customer terminates the affected Services for Aries AI's uncured material breach, Aries AI will provide the remedy stated in the Agreement, including any applicable pro-rata refund of prepaid unused fees.</w:t>
      </w:r>
    </w:p>
    <w:p>
      <w:pPr>
        <w:pStyle w:val="Heading1"/>
      </w:pPr>
      <w:r>
        <w:t>16. Mandatory consumer and statutory rights</w:t>
      </w:r>
    </w:p>
    <w:p>
      <w:r>
        <w:rPr>
          <w:rFonts w:ascii="Calibri" w:hAnsi="Calibri"/>
          <w:b w:val="0"/>
          <w:i w:val="0"/>
          <w:color w:val="2F4F57"/>
          <w:sz w:val="22"/>
        </w:rPr>
        <w:t>Aries Reach is principally offered for business and enterprise use. If a Customer or user qualifies for mandatory consumer, cooling-off, cancellation or refund rights under applicable law, those rights apply and are not limited by this Policy. Nothing in this Policy excludes a right or remedy that cannot lawfully be excluded.</w:t>
      </w:r>
    </w:p>
    <w:p>
      <w:pPr>
        <w:pStyle w:val="Heading1"/>
      </w:pPr>
      <w:r>
        <w:t>17. How to request a refund, credit or cancellation</w:t>
      </w:r>
    </w:p>
    <w:tbl>
      <w:tblPr>
        <w:tblW w:type="dxa" w:w="9360"/>
        <w:jc w:val="left"/>
        <w:tblLayout w:type="fixed"/>
        <w:tblLook w:firstColumn="1" w:firstRow="1" w:lastColumn="0" w:lastRow="0" w:noHBand="0" w:noVBand="1" w:val="04A0"/>
        <w:tblInd w:w="120" w:type="dxa"/>
        <w:tblBorders>
          <w:top w:val="single" w:sz="6" w:space="0" w:color="C8DADD"/>
          <w:left w:val="single" w:sz="6" w:space="0" w:color="C8DADD"/>
          <w:bottom w:val="single" w:sz="6" w:space="0" w:color="C8DADD"/>
          <w:right w:val="single" w:sz="6" w:space="0" w:color="C8DADD"/>
          <w:insideH w:val="single" w:sz="6" w:space="0" w:color="C8DADD"/>
          <w:insideV w:val="single" w:sz="6" w:space="0" w:color="C8DADD"/>
        </w:tblBorders>
      </w:tblPr>
      <w:tblGrid>
        <w:gridCol w:w="950"/>
        <w:gridCol w:w="1650"/>
        <w:gridCol w:w="6760"/>
      </w:tblGrid>
      <w:tr>
        <w:trPr>
          <w:tblHeader w:val="true"/>
        </w:trPr>
        <w:tc>
          <w:tcPr>
            <w:tcW w:type="dxa" w:w="950"/>
            <w:tcMar>
              <w:top w:w="80" w:type="dxa"/>
              <w:start w:w="120" w:type="dxa"/>
              <w:bottom w:w="80" w:type="dxa"/>
              <w:end w:w="120" w:type="dxa"/>
            </w:tcMar>
            <w:shd w:fill="F2F4F7"/>
          </w:tcPr>
          <w:p>
            <w:pPr>
              <w:spacing w:after="0"/>
            </w:pPr>
            <w:r>
              <w:rPr>
                <w:rFonts w:ascii="Calibri" w:hAnsi="Calibri"/>
                <w:b/>
                <w:i w:val="0"/>
                <w:color w:val="173F48"/>
                <w:sz w:val="18"/>
              </w:rPr>
              <w:t>STEP</w:t>
            </w:r>
          </w:p>
        </w:tc>
        <w:tc>
          <w:tcPr>
            <w:tcW w:type="dxa" w:w="1650"/>
            <w:tcMar>
              <w:top w:w="80" w:type="dxa"/>
              <w:start w:w="120" w:type="dxa"/>
              <w:bottom w:w="80" w:type="dxa"/>
              <w:end w:w="120" w:type="dxa"/>
            </w:tcMar>
            <w:shd w:fill="F2F4F7"/>
          </w:tcPr>
          <w:p>
            <w:pPr>
              <w:spacing w:after="0"/>
            </w:pPr>
            <w:r>
              <w:rPr>
                <w:rFonts w:ascii="Calibri" w:hAnsi="Calibri"/>
                <w:b/>
                <w:i w:val="0"/>
                <w:color w:val="173F48"/>
                <w:sz w:val="18"/>
              </w:rPr>
              <w:t>ACTION</w:t>
            </w:r>
          </w:p>
        </w:tc>
        <w:tc>
          <w:tcPr>
            <w:tcW w:type="dxa" w:w="6760"/>
            <w:tcMar>
              <w:top w:w="80" w:type="dxa"/>
              <w:start w:w="120" w:type="dxa"/>
              <w:bottom w:w="80" w:type="dxa"/>
              <w:end w:w="120" w:type="dxa"/>
            </w:tcMar>
            <w:shd w:fill="F2F4F7"/>
          </w:tcPr>
          <w:p>
            <w:pPr>
              <w:spacing w:after="0"/>
            </w:pPr>
            <w:r>
              <w:rPr>
                <w:rFonts w:ascii="Calibri" w:hAnsi="Calibri"/>
                <w:b/>
                <w:i w:val="0"/>
                <w:color w:val="173F48"/>
                <w:sz w:val="18"/>
              </w:rPr>
              <w:t>WHAT TO EXPECT</w:t>
            </w:r>
          </w:p>
        </w:tc>
      </w:tr>
      <w:tr>
        <w:tc>
          <w:tcPr>
            <w:tcW w:type="dxa" w:w="950"/>
            <w:vAlign w:val="center"/>
            <w:tcMar>
              <w:top w:w="80" w:type="dxa"/>
              <w:start w:w="120" w:type="dxa"/>
              <w:bottom w:w="80" w:type="dxa"/>
              <w:end w:w="120" w:type="dxa"/>
            </w:tcMar>
          </w:tcPr>
          <w:p>
            <w:pPr>
              <w:spacing w:after="0"/>
            </w:pPr>
            <w:r>
              <w:rPr>
                <w:rFonts w:ascii="Calibri" w:hAnsi="Calibri"/>
                <w:b w:val="0"/>
                <w:i w:val="0"/>
                <w:color w:val="2F4F57"/>
                <w:sz w:val="18"/>
              </w:rPr>
              <w:t>1</w:t>
            </w:r>
          </w:p>
        </w:tc>
        <w:tc>
          <w:tcPr>
            <w:tcW w:type="dxa" w:w="1650"/>
            <w:vAlign w:val="center"/>
            <w:tcMar>
              <w:top w:w="80" w:type="dxa"/>
              <w:start w:w="120" w:type="dxa"/>
              <w:bottom w:w="80" w:type="dxa"/>
              <w:end w:w="120" w:type="dxa"/>
            </w:tcMar>
          </w:tcPr>
          <w:p>
            <w:pPr>
              <w:spacing w:after="0"/>
            </w:pPr>
            <w:r>
              <w:rPr>
                <w:rFonts w:ascii="Calibri" w:hAnsi="Calibri"/>
                <w:b w:val="0"/>
                <w:i w:val="0"/>
                <w:color w:val="2F4F57"/>
                <w:sz w:val="18"/>
              </w:rPr>
              <w:t>Submit</w:t>
            </w:r>
          </w:p>
        </w:tc>
        <w:tc>
          <w:tcPr>
            <w:tcW w:type="dxa" w:w="6760"/>
            <w:vAlign w:val="center"/>
            <w:tcMar>
              <w:top w:w="80" w:type="dxa"/>
              <w:start w:w="120" w:type="dxa"/>
              <w:bottom w:w="80" w:type="dxa"/>
              <w:end w:w="120" w:type="dxa"/>
            </w:tcMar>
          </w:tcPr>
          <w:p>
            <w:pPr>
              <w:spacing w:after="0"/>
            </w:pPr>
            <w:r>
              <w:rPr>
                <w:rFonts w:ascii="Calibri" w:hAnsi="Calibri"/>
                <w:b w:val="0"/>
                <w:i w:val="0"/>
                <w:color w:val="2F4F57"/>
                <w:sz w:val="18"/>
              </w:rPr>
              <w:t>Email info@ariesai.ai with the subject 'Aries Reach - Billing Review' or use the designated account channel.</w:t>
            </w:r>
          </w:p>
        </w:tc>
      </w:tr>
      <w:tr>
        <w:tc>
          <w:tcPr>
            <w:tcW w:type="dxa" w:w="950"/>
            <w:vAlign w:val="center"/>
            <w:tcMar>
              <w:top w:w="80" w:type="dxa"/>
              <w:start w:w="120" w:type="dxa"/>
              <w:bottom w:w="80" w:type="dxa"/>
              <w:end w:w="120" w:type="dxa"/>
            </w:tcMar>
          </w:tcPr>
          <w:p>
            <w:pPr>
              <w:spacing w:after="0"/>
            </w:pPr>
            <w:r>
              <w:rPr>
                <w:rFonts w:ascii="Calibri" w:hAnsi="Calibri"/>
                <w:b w:val="0"/>
                <w:i w:val="0"/>
                <w:color w:val="2F4F57"/>
                <w:sz w:val="18"/>
              </w:rPr>
              <w:t>2</w:t>
            </w:r>
          </w:p>
        </w:tc>
        <w:tc>
          <w:tcPr>
            <w:tcW w:type="dxa" w:w="1650"/>
            <w:vAlign w:val="center"/>
            <w:tcMar>
              <w:top w:w="80" w:type="dxa"/>
              <w:start w:w="120" w:type="dxa"/>
              <w:bottom w:w="80" w:type="dxa"/>
              <w:end w:w="120" w:type="dxa"/>
            </w:tcMar>
          </w:tcPr>
          <w:p>
            <w:pPr>
              <w:spacing w:after="0"/>
            </w:pPr>
            <w:r>
              <w:rPr>
                <w:rFonts w:ascii="Calibri" w:hAnsi="Calibri"/>
                <w:b w:val="0"/>
                <w:i w:val="0"/>
                <w:color w:val="2F4F57"/>
                <w:sz w:val="18"/>
              </w:rPr>
              <w:t>Identify</w:t>
            </w:r>
          </w:p>
        </w:tc>
        <w:tc>
          <w:tcPr>
            <w:tcW w:type="dxa" w:w="6760"/>
            <w:vAlign w:val="center"/>
            <w:tcMar>
              <w:top w:w="80" w:type="dxa"/>
              <w:start w:w="120" w:type="dxa"/>
              <w:bottom w:w="80" w:type="dxa"/>
              <w:end w:w="120" w:type="dxa"/>
            </w:tcMar>
          </w:tcPr>
          <w:p>
            <w:pPr>
              <w:spacing w:after="0"/>
            </w:pPr>
            <w:r>
              <w:rPr>
                <w:rFonts w:ascii="Calibri" w:hAnsi="Calibri"/>
                <w:b w:val="0"/>
                <w:i w:val="0"/>
                <w:color w:val="2F4F57"/>
                <w:sz w:val="18"/>
              </w:rPr>
              <w:t>Provide organization, account, Order, invoice, charge date, amount, request type and authorized contact.</w:t>
            </w:r>
          </w:p>
        </w:tc>
      </w:tr>
      <w:tr>
        <w:tc>
          <w:tcPr>
            <w:tcW w:type="dxa" w:w="950"/>
            <w:vAlign w:val="center"/>
            <w:tcMar>
              <w:top w:w="80" w:type="dxa"/>
              <w:start w:w="120" w:type="dxa"/>
              <w:bottom w:w="80" w:type="dxa"/>
              <w:end w:w="120" w:type="dxa"/>
            </w:tcMar>
          </w:tcPr>
          <w:p>
            <w:pPr>
              <w:spacing w:after="0"/>
            </w:pPr>
            <w:r>
              <w:rPr>
                <w:rFonts w:ascii="Calibri" w:hAnsi="Calibri"/>
                <w:b w:val="0"/>
                <w:i w:val="0"/>
                <w:color w:val="2F4F57"/>
                <w:sz w:val="18"/>
              </w:rPr>
              <w:t>3</w:t>
            </w:r>
          </w:p>
        </w:tc>
        <w:tc>
          <w:tcPr>
            <w:tcW w:type="dxa" w:w="1650"/>
            <w:vAlign w:val="center"/>
            <w:tcMar>
              <w:top w:w="80" w:type="dxa"/>
              <w:start w:w="120" w:type="dxa"/>
              <w:bottom w:w="80" w:type="dxa"/>
              <w:end w:w="120" w:type="dxa"/>
            </w:tcMar>
          </w:tcPr>
          <w:p>
            <w:pPr>
              <w:spacing w:after="0"/>
            </w:pPr>
            <w:r>
              <w:rPr>
                <w:rFonts w:ascii="Calibri" w:hAnsi="Calibri"/>
                <w:b w:val="0"/>
                <w:i w:val="0"/>
                <w:color w:val="2F4F57"/>
                <w:sz w:val="18"/>
              </w:rPr>
              <w:t>Explain</w:t>
            </w:r>
          </w:p>
        </w:tc>
        <w:tc>
          <w:tcPr>
            <w:tcW w:type="dxa" w:w="6760"/>
            <w:vAlign w:val="center"/>
            <w:tcMar>
              <w:top w:w="80" w:type="dxa"/>
              <w:start w:w="120" w:type="dxa"/>
              <w:bottom w:w="80" w:type="dxa"/>
              <w:end w:w="120" w:type="dxa"/>
            </w:tcMar>
          </w:tcPr>
          <w:p>
            <w:pPr>
              <w:spacing w:after="0"/>
            </w:pPr>
            <w:r>
              <w:rPr>
                <w:rFonts w:ascii="Calibri" w:hAnsi="Calibri"/>
                <w:b w:val="0"/>
                <w:i w:val="0"/>
                <w:color w:val="2F4F57"/>
                <w:sz w:val="18"/>
              </w:rPr>
              <w:t>State the reason and attach supporting records. Do not send payment-card numbers, passwords or authentication secrets.</w:t>
            </w:r>
          </w:p>
        </w:tc>
      </w:tr>
      <w:tr>
        <w:tc>
          <w:tcPr>
            <w:tcW w:type="dxa" w:w="950"/>
            <w:vAlign w:val="center"/>
            <w:tcMar>
              <w:top w:w="80" w:type="dxa"/>
              <w:start w:w="120" w:type="dxa"/>
              <w:bottom w:w="80" w:type="dxa"/>
              <w:end w:w="120" w:type="dxa"/>
            </w:tcMar>
          </w:tcPr>
          <w:p>
            <w:pPr>
              <w:spacing w:after="0"/>
            </w:pPr>
            <w:r>
              <w:rPr>
                <w:rFonts w:ascii="Calibri" w:hAnsi="Calibri"/>
                <w:b w:val="0"/>
                <w:i w:val="0"/>
                <w:color w:val="2F4F57"/>
                <w:sz w:val="18"/>
              </w:rPr>
              <w:t>4</w:t>
            </w:r>
          </w:p>
        </w:tc>
        <w:tc>
          <w:tcPr>
            <w:tcW w:type="dxa" w:w="1650"/>
            <w:vAlign w:val="center"/>
            <w:tcMar>
              <w:top w:w="80" w:type="dxa"/>
              <w:start w:w="120" w:type="dxa"/>
              <w:bottom w:w="80" w:type="dxa"/>
              <w:end w:w="120" w:type="dxa"/>
            </w:tcMar>
          </w:tcPr>
          <w:p>
            <w:pPr>
              <w:spacing w:after="0"/>
            </w:pPr>
            <w:r>
              <w:rPr>
                <w:rFonts w:ascii="Calibri" w:hAnsi="Calibri"/>
                <w:b w:val="0"/>
                <w:i w:val="0"/>
                <w:color w:val="2F4F57"/>
                <w:sz w:val="18"/>
              </w:rPr>
              <w:t>Review</w:t>
            </w:r>
          </w:p>
        </w:tc>
        <w:tc>
          <w:tcPr>
            <w:tcW w:type="dxa" w:w="6760"/>
            <w:vAlign w:val="center"/>
            <w:tcMar>
              <w:top w:w="80" w:type="dxa"/>
              <w:start w:w="120" w:type="dxa"/>
              <w:bottom w:w="80" w:type="dxa"/>
              <w:end w:w="120" w:type="dxa"/>
            </w:tcMar>
          </w:tcPr>
          <w:p>
            <w:pPr>
              <w:spacing w:after="0"/>
            </w:pPr>
            <w:r>
              <w:rPr>
                <w:rFonts w:ascii="Calibri" w:hAnsi="Calibri"/>
                <w:b w:val="0"/>
                <w:i w:val="0"/>
                <w:color w:val="2F4F57"/>
                <w:sz w:val="18"/>
              </w:rPr>
              <w:t>Aries AI will acknowledge the request and may ask for information reasonably necessary to validate authority and eligibility.</w:t>
            </w:r>
          </w:p>
        </w:tc>
      </w:tr>
      <w:tr>
        <w:tc>
          <w:tcPr>
            <w:tcW w:type="dxa" w:w="950"/>
            <w:vAlign w:val="center"/>
            <w:tcMar>
              <w:top w:w="80" w:type="dxa"/>
              <w:start w:w="120" w:type="dxa"/>
              <w:bottom w:w="80" w:type="dxa"/>
              <w:end w:w="120" w:type="dxa"/>
            </w:tcMar>
          </w:tcPr>
          <w:p>
            <w:pPr>
              <w:spacing w:after="0"/>
            </w:pPr>
            <w:r>
              <w:rPr>
                <w:rFonts w:ascii="Calibri" w:hAnsi="Calibri"/>
                <w:b w:val="0"/>
                <w:i w:val="0"/>
                <w:color w:val="2F4F57"/>
                <w:sz w:val="18"/>
              </w:rPr>
              <w:t>5</w:t>
            </w:r>
          </w:p>
        </w:tc>
        <w:tc>
          <w:tcPr>
            <w:tcW w:type="dxa" w:w="1650"/>
            <w:vAlign w:val="center"/>
            <w:tcMar>
              <w:top w:w="80" w:type="dxa"/>
              <w:start w:w="120" w:type="dxa"/>
              <w:bottom w:w="80" w:type="dxa"/>
              <w:end w:w="120" w:type="dxa"/>
            </w:tcMar>
          </w:tcPr>
          <w:p>
            <w:pPr>
              <w:spacing w:after="0"/>
            </w:pPr>
            <w:r>
              <w:rPr>
                <w:rFonts w:ascii="Calibri" w:hAnsi="Calibri"/>
                <w:b w:val="0"/>
                <w:i w:val="0"/>
                <w:color w:val="2F4F57"/>
                <w:sz w:val="18"/>
              </w:rPr>
              <w:t>Resolve</w:t>
            </w:r>
          </w:p>
        </w:tc>
        <w:tc>
          <w:tcPr>
            <w:tcW w:type="dxa" w:w="6760"/>
            <w:vAlign w:val="center"/>
            <w:tcMar>
              <w:top w:w="80" w:type="dxa"/>
              <w:start w:w="120" w:type="dxa"/>
              <w:bottom w:w="80" w:type="dxa"/>
              <w:end w:w="120" w:type="dxa"/>
            </w:tcMar>
          </w:tcPr>
          <w:p>
            <w:pPr>
              <w:spacing w:after="0"/>
            </w:pPr>
            <w:r>
              <w:rPr>
                <w:rFonts w:ascii="Calibri" w:hAnsi="Calibri"/>
                <w:b w:val="0"/>
                <w:i w:val="0"/>
                <w:color w:val="2F4F57"/>
                <w:sz w:val="18"/>
              </w:rPr>
              <w:t>Aries AI will communicate the decision and, if approved, the form and timing of the refund, credit or account change.</w:t>
            </w:r>
          </w:p>
        </w:tc>
      </w:tr>
    </w:tbl>
    <w:p>
      <w:r>
        <w:rPr>
          <w:rFonts w:ascii="Calibri" w:hAnsi="Calibri"/>
          <w:b w:val="0"/>
          <w:i w:val="0"/>
          <w:color w:val="2F4F57"/>
          <w:sz w:val="22"/>
        </w:rPr>
        <w:t>Requests should be submitted within 30 days after the relevant charge or event unless the Agreement or applicable law allows a longer period. Aries AI aims to acknowledge a complete request within five business days. Final timing depends on complexity, required evidence and the payment provider.</w:t>
      </w:r>
    </w:p>
    <w:p>
      <w:pPr>
        <w:pStyle w:val="Heading1"/>
      </w:pPr>
      <w:r>
        <w:t>18. Changes and contact</w:t>
      </w:r>
    </w:p>
    <w:p>
      <w:r>
        <w:rPr>
          <w:rFonts w:ascii="Calibri" w:hAnsi="Calibri"/>
          <w:b w:val="0"/>
          <w:i w:val="0"/>
          <w:color w:val="2F4F57"/>
          <w:sz w:val="22"/>
        </w:rPr>
        <w:t>Aries AI may update this Policy for future Orders or billing periods. A public update does not amend an active Order unless the Agreement permits incorporation of updated online terms and the required notice or consent process is followed.</w:t>
      </w:r>
    </w:p>
    <w:p>
      <w:r>
        <w:rPr>
          <w:rFonts w:ascii="Calibri" w:hAnsi="Calibri"/>
          <w:b w:val="0"/>
          <w:i w:val="0"/>
          <w:color w:val="2F4F57"/>
          <w:sz w:val="22"/>
        </w:rPr>
        <w:t>Questions, cancellation notices and billing-review requests may be sent to info@ariesai.ai. Contractual notices must follow the notice mechanism in the applicable Agreement. Aries AI's principal operating contact is located at Kindi Street, Amman, Jordan.</w:t>
      </w:r>
    </w:p>
    <w:tbl>
      <w:tblPr>
        <w:tblW w:type="dxa" w:w="9360"/>
        <w:jc w:val="left"/>
        <w:tblLayout w:type="fixed"/>
        <w:tblLook w:firstColumn="1" w:firstRow="1" w:lastColumn="0" w:lastRow="0" w:noHBand="0" w:noVBand="1" w:val="04A0"/>
        <w:tblInd w:w="120" w:type="dxa"/>
        <w:tblBorders>
          <w:top w:val="single" w:sz="8" w:space="0" w:color="A9DBD5"/>
          <w:left w:val="single" w:sz="8" w:space="0" w:color="A9DBD5"/>
          <w:bottom w:val="single" w:sz="8" w:space="0" w:color="A9DBD5"/>
          <w:right w:val="single" w:sz="8" w:space="0" w:color="A9DBD5"/>
          <w:insideH w:val="single" w:sz="8" w:space="0" w:color="A9DBD5"/>
          <w:insideV w:val="single" w:sz="8" w:space="0" w:color="A9DBD5"/>
        </w:tblBorders>
      </w:tblPr>
      <w:tblGrid>
        <w:gridCol w:w="9360"/>
      </w:tblGrid>
      <w:tr>
        <w:tc>
          <w:tcPr>
            <w:tcW w:type="dxa" w:w="9360"/>
            <w:tcMar>
              <w:top w:w="80" w:type="dxa"/>
              <w:start w:w="120" w:type="dxa"/>
              <w:bottom w:w="80" w:type="dxa"/>
              <w:end w:w="120" w:type="dxa"/>
            </w:tcMar>
            <w:shd w:fill="EAF7F5"/>
          </w:tcPr>
          <w:p>
            <w:pPr>
              <w:spacing w:after="40"/>
            </w:pPr>
            <w:r>
              <w:rPr>
                <w:rFonts w:ascii="Calibri" w:hAnsi="Calibri"/>
                <w:b/>
                <w:i w:val="0"/>
                <w:color w:val="09A0B3"/>
                <w:sz w:val="18"/>
              </w:rPr>
              <w:t xml:space="preserve">ENTERPRISE BILLING REVIEW  </w:t>
            </w:r>
            <w:r>
              <w:rPr>
                <w:rFonts w:ascii="Calibri" w:hAnsi="Calibri"/>
                <w:b w:val="0"/>
                <w:i w:val="0"/>
                <w:color w:val="173F48"/>
                <w:sz w:val="21"/>
              </w:rPr>
              <w:t>For an Order-specific decision, provide the signed Order Form, invoice and authorized billing contact. Aries AI will apply the binding commercial documents first, then this Policy, then any mandatory legal requirement.</w:t>
            </w:r>
          </w:p>
        </w:tc>
      </w:tr>
    </w:tbl>
    <w:p>
      <w:pPr>
        <w:spacing w:after="0"/>
      </w:pP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7200"/>
      <w:gridCol w:w="2160"/>
    </w:tblGrid>
    <w:tr>
      <w:tc>
        <w:tcPr>
          <w:tcW w:type="dxa" w:w="7200"/>
          <w:tcMar>
            <w:top w:w="80" w:type="dxa"/>
            <w:start w:w="120" w:type="dxa"/>
            <w:bottom w:w="80" w:type="dxa"/>
            <w:end w:w="120" w:type="dxa"/>
          </w:tcMar>
        </w:tcPr>
        <w:p>
          <w:pPr>
            <w:spacing w:after="0"/>
          </w:pPr>
          <w:r>
            <w:rPr>
              <w:rFonts w:ascii="Calibri" w:hAnsi="Calibri"/>
              <w:b w:val="0"/>
              <w:i w:val="0"/>
              <w:color w:val="5F7A81"/>
              <w:sz w:val="16"/>
            </w:rPr>
            <w:t>© 2026 Aries AI  ·  Public enterprise policy</w:t>
          </w:r>
        </w:p>
      </w:tc>
      <w:tc>
        <w:tcPr>
          <w:tcW w:type="dxa" w:w="2160"/>
          <w:tcMar>
            <w:top w:w="80" w:type="dxa"/>
            <w:start w:w="120" w:type="dxa"/>
            <w:bottom w:w="80" w:type="dxa"/>
            <w:end w:w="120" w:type="dxa"/>
          </w:tcMar>
        </w:tcPr>
        <w:p>
          <w:pPr>
            <w:jc w:val="right"/>
          </w:pPr>
          <w:r>
            <w:rPr>
              <w:rFonts w:ascii="Calibri" w:hAnsi="Calibri"/>
              <w:b/>
              <w:i w:val="0"/>
              <w:color w:val="5F7A81"/>
              <w:sz w:val="17"/>
            </w:rPr>
            <w:t xml:space="preserve">PAGE </w:t>
            <w:fldChar w:fldCharType="begin"/>
            <w:instrText xml:space="preserve"> PAGE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5" w:space="5" w:color="C8DADD"/>
      </w:pBdr>
    </w:pPr>
    <w:r>
      <w:rPr>
        <w:rFonts w:ascii="Calibri" w:hAnsi="Calibri"/>
        <w:b/>
        <w:i w:val="0"/>
        <w:color w:val="5F7A81"/>
        <w:sz w:val="17"/>
      </w:rPr>
      <w:t>ARIES REACH  ·  REFUND &amp; CANCELLATION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720"/>
        </w:tabs>
        <w:ind w:left="720" w:hanging="360"/>
        <w:spacing w:after="160" w:line="280" w:lineRule="auto"/>
      </w:pPr>
    </w:lvl>
  </w:abstractNum>
  <w:num w:numId="10">
    <w:abstractNumId w:val="9"/>
  </w:num>
  <w:abstractNum w:abstractNumId="10">
    <w:multiLevelType w:val="singleLevel"/>
    <w:lvl w:ilvl="0">
      <w:start w:val="1"/>
      <w:numFmt w:val="decimal"/>
      <w:lvlText w:val="%1."/>
      <w:lvlJc w:val="left"/>
      <w:pPr>
        <w:tabs>
          <w:tab w:val="num" w:pos="540"/>
        </w:tabs>
        <w:ind w:left="540" w:hanging="280"/>
        <w:spacing w:after="120" w:line="280" w:lineRule="auto"/>
      </w:p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color w:val="2F4F5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09A0B3"/>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9A0B3"/>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73F4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Aries Reach Refund and Cancellation Policy</dc:title>
  <dc:subject>Public enterprise policy for refunds, cancellation, renewal, billing corrections and service credits</dc:subject>
  <dc:creator>Aries AI</dc:creator>
  <cp:keywords>Aries Reach, refund policy, cancellation, non-renewal, service credits, billing dispute, enterprise subscription</cp:keywords>
  <dc:description>Public enterprise policy - version 2.0</dc:description>
  <cp:lastModifiedBy/>
  <cp:revision>1</cp:revision>
  <dcterms:created xsi:type="dcterms:W3CDTF">2013-12-23T23:15:00Z</dcterms:created>
  <dcterms:modified xsi:type="dcterms:W3CDTF">2013-12-23T23:15:00Z</dcterms:modified>
  <cp:category/>
</cp:coreProperties>
</file>