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0" w:after="360"/>
      </w:pPr>
      <w:r>
        <w:drawing>
          <wp:inline xmlns:a="http://schemas.openxmlformats.org/drawingml/2006/main" xmlns:pic="http://schemas.openxmlformats.org/drawingml/2006/picture">
            <wp:extent cx="2148840" cy="476591"/>
            <wp:docPr id="1" name="Picture 1" descr="Aries Reach logo" title="Aries Reach"/>
            <wp:cNvGraphicFramePr>
              <a:graphicFrameLocks noChangeAspect="1"/>
            </wp:cNvGraphicFramePr>
            <a:graphic>
              <a:graphicData uri="http://schemas.openxmlformats.org/drawingml/2006/picture">
                <pic:pic>
                  <pic:nvPicPr>
                    <pic:cNvPr id="0" name="reach-logo.png"/>
                    <pic:cNvPicPr/>
                  </pic:nvPicPr>
                  <pic:blipFill>
                    <a:blip r:embed="rId9"/>
                    <a:stretch>
                      <a:fillRect/>
                    </a:stretch>
                  </pic:blipFill>
                  <pic:spPr>
                    <a:xfrm>
                      <a:off x="0" y="0"/>
                      <a:ext cx="2148840" cy="476591"/>
                    </a:xfrm>
                    <a:prstGeom prst="rect"/>
                  </pic:spPr>
                </pic:pic>
              </a:graphicData>
            </a:graphic>
          </wp:inline>
        </w:drawing>
      </w:r>
    </w:p>
    <w:p>
      <w:pPr>
        <w:spacing w:after="80"/>
      </w:pPr>
      <w:r>
        <w:rPr>
          <w:rFonts w:ascii="Calibri" w:hAnsi="Calibri"/>
          <w:b/>
          <w:i w:val="0"/>
          <w:color w:val="09A0B3"/>
          <w:sz w:val="18"/>
        </w:rPr>
        <w:t>ENTERPRISE PRIVACY &amp; TRANSPARENCY</w:t>
      </w:r>
    </w:p>
    <w:p>
      <w:pPr>
        <w:spacing w:after="120"/>
      </w:pPr>
      <w:r>
        <w:rPr>
          <w:rFonts w:ascii="Calibri" w:hAnsi="Calibri"/>
          <w:b/>
          <w:i w:val="0"/>
          <w:color w:val="173F48"/>
          <w:sz w:val="56"/>
        </w:rPr>
        <w:t>Aries Reach Enterprise Privacy Policy</w:t>
      </w:r>
    </w:p>
    <w:p>
      <w:pPr>
        <w:spacing w:after="360"/>
      </w:pPr>
      <w:r>
        <w:rPr>
          <w:rFonts w:ascii="Calibri" w:hAnsi="Calibri"/>
          <w:b w:val="0"/>
          <w:i w:val="0"/>
          <w:color w:val="5F7A81"/>
          <w:sz w:val="27"/>
        </w:rPr>
        <w:t>A clear privacy framework for enterprise accounts, stakeholder feedback, multilingual AI processing and governed deployment.</w:t>
      </w:r>
    </w:p>
    <w:tbl>
      <w:tblPr>
        <w:tblW w:type="dxa" w:w="9360"/>
        <w:jc w:val="left"/>
        <w:tblLayout w:type="fixed"/>
        <w:tblLook w:firstColumn="1" w:firstRow="1" w:lastColumn="0" w:lastRow="0" w:noHBand="0" w:noVBand="1" w:val="04A0"/>
        <w:tblInd w:w="120" w:type="dxa"/>
        <w:tblBorders>
          <w:top w:val="single" w:sz="6" w:space="0" w:color="C8DADD"/>
          <w:left w:val="single" w:sz="6" w:space="0" w:color="C8DADD"/>
          <w:bottom w:val="single" w:sz="6" w:space="0" w:color="C8DADD"/>
          <w:right w:val="single" w:sz="6" w:space="0" w:color="C8DADD"/>
          <w:insideH w:val="single" w:sz="6" w:space="0" w:color="C8DADD"/>
          <w:insideV w:val="single" w:sz="6" w:space="0" w:color="C8DADD"/>
        </w:tblBorders>
      </w:tblPr>
      <w:tblGrid>
        <w:gridCol w:w="4680"/>
        <w:gridCol w:w="4680"/>
      </w:tblGrid>
      <w:tr>
        <w:tc>
          <w:tcPr>
            <w:tcW w:type="dxa" w:w="4680"/>
            <w:tcMar>
              <w:top w:w="100" w:type="dxa"/>
              <w:start w:w="140" w:type="dxa"/>
              <w:bottom w:w="100" w:type="dxa"/>
              <w:end w:w="140" w:type="dxa"/>
            </w:tcMar>
            <w:vAlign w:val="center"/>
          </w:tcPr>
          <w:p>
            <w:pPr>
              <w:spacing w:after="0"/>
            </w:pPr>
            <w:r>
              <w:rPr>
                <w:rFonts w:ascii="Calibri" w:hAnsi="Calibri"/>
                <w:b/>
                <w:i w:val="0"/>
                <w:color w:val="09A0B3"/>
                <w:sz w:val="17"/>
              </w:rPr>
              <w:t>DOCUMENT</w:t>
              <w:br/>
            </w:r>
            <w:r>
              <w:rPr>
                <w:rFonts w:ascii="Calibri" w:hAnsi="Calibri"/>
                <w:b/>
                <w:i w:val="0"/>
                <w:color w:val="173F48"/>
                <w:sz w:val="21"/>
              </w:rPr>
              <w:t>Enterprise Privacy Policy</w:t>
            </w:r>
          </w:p>
        </w:tc>
        <w:tc>
          <w:tcPr>
            <w:tcW w:type="dxa" w:w="4680"/>
            <w:tcMar>
              <w:top w:w="100" w:type="dxa"/>
              <w:start w:w="140" w:type="dxa"/>
              <w:bottom w:w="100" w:type="dxa"/>
              <w:end w:w="140" w:type="dxa"/>
            </w:tcMar>
            <w:vAlign w:val="center"/>
          </w:tcPr>
          <w:p>
            <w:pPr>
              <w:spacing w:after="0"/>
            </w:pPr>
            <w:r>
              <w:rPr>
                <w:rFonts w:ascii="Calibri" w:hAnsi="Calibri"/>
                <w:b/>
                <w:i w:val="0"/>
                <w:color w:val="09A0B3"/>
                <w:sz w:val="17"/>
              </w:rPr>
              <w:t>VERSION</w:t>
              <w:br/>
            </w:r>
            <w:r>
              <w:rPr>
                <w:rFonts w:ascii="Calibri" w:hAnsi="Calibri"/>
                <w:b/>
                <w:i w:val="0"/>
                <w:color w:val="173F48"/>
                <w:sz w:val="21"/>
              </w:rPr>
              <w:t>2.0</w:t>
            </w:r>
          </w:p>
        </w:tc>
      </w:tr>
      <w:tr>
        <w:tc>
          <w:tcPr>
            <w:tcW w:type="dxa" w:w="4680"/>
            <w:tcMar>
              <w:top w:w="100" w:type="dxa"/>
              <w:start w:w="140" w:type="dxa"/>
              <w:bottom w:w="100" w:type="dxa"/>
              <w:end w:w="140" w:type="dxa"/>
            </w:tcMar>
            <w:vAlign w:val="center"/>
          </w:tcPr>
          <w:p>
            <w:pPr>
              <w:spacing w:after="0"/>
            </w:pPr>
            <w:r>
              <w:rPr>
                <w:rFonts w:ascii="Calibri" w:hAnsi="Calibri"/>
                <w:b/>
                <w:i w:val="0"/>
                <w:color w:val="09A0B3"/>
                <w:sz w:val="17"/>
              </w:rPr>
              <w:t>EFFECTIVE</w:t>
              <w:br/>
            </w:r>
            <w:r>
              <w:rPr>
                <w:rFonts w:ascii="Calibri" w:hAnsi="Calibri"/>
                <w:b/>
                <w:i w:val="0"/>
                <w:color w:val="173F48"/>
                <w:sz w:val="21"/>
              </w:rPr>
              <w:t>23 August 2026</w:t>
            </w:r>
          </w:p>
        </w:tc>
        <w:tc>
          <w:tcPr>
            <w:tcW w:type="dxa" w:w="4680"/>
            <w:tcMar>
              <w:top w:w="100" w:type="dxa"/>
              <w:start w:w="140" w:type="dxa"/>
              <w:bottom w:w="100" w:type="dxa"/>
              <w:end w:w="140" w:type="dxa"/>
            </w:tcMar>
            <w:vAlign w:val="center"/>
          </w:tcPr>
          <w:p>
            <w:pPr>
              <w:spacing w:after="0"/>
            </w:pPr>
            <w:r>
              <w:rPr>
                <w:rFonts w:ascii="Calibri" w:hAnsi="Calibri"/>
                <w:b/>
                <w:i w:val="0"/>
                <w:color w:val="09A0B3"/>
                <w:sz w:val="17"/>
              </w:rPr>
              <w:t>STATUS</w:t>
              <w:br/>
            </w:r>
            <w:r>
              <w:rPr>
                <w:rFonts w:ascii="Calibri" w:hAnsi="Calibri"/>
                <w:b/>
                <w:i w:val="0"/>
                <w:color w:val="173F48"/>
                <w:sz w:val="21"/>
              </w:rPr>
              <w:t>Public privacy notice</w:t>
            </w:r>
          </w:p>
        </w:tc>
      </w:tr>
      <w:tr>
        <w:tc>
          <w:tcPr>
            <w:tcW w:type="dxa" w:w="4680"/>
            <w:tcMar>
              <w:top w:w="100" w:type="dxa"/>
              <w:start w:w="140" w:type="dxa"/>
              <w:bottom w:w="100" w:type="dxa"/>
              <w:end w:w="140" w:type="dxa"/>
            </w:tcMar>
            <w:vAlign w:val="center"/>
          </w:tcPr>
          <w:p>
            <w:pPr>
              <w:spacing w:after="0"/>
            </w:pPr>
            <w:r>
              <w:rPr>
                <w:rFonts w:ascii="Calibri" w:hAnsi="Calibri"/>
                <w:b/>
                <w:i w:val="0"/>
                <w:color w:val="09A0B3"/>
                <w:sz w:val="17"/>
              </w:rPr>
              <w:t>ORGANIZATION</w:t>
              <w:br/>
            </w:r>
            <w:r>
              <w:rPr>
                <w:rFonts w:ascii="Calibri" w:hAnsi="Calibri"/>
                <w:b/>
                <w:i w:val="0"/>
                <w:color w:val="173F48"/>
                <w:sz w:val="21"/>
              </w:rPr>
              <w:t>Aries AI</w:t>
            </w:r>
          </w:p>
        </w:tc>
        <w:tc>
          <w:tcPr>
            <w:tcW w:type="dxa" w:w="4680"/>
            <w:tcMar>
              <w:top w:w="100" w:type="dxa"/>
              <w:start w:w="140" w:type="dxa"/>
              <w:bottom w:w="100" w:type="dxa"/>
              <w:end w:w="140" w:type="dxa"/>
            </w:tcMar>
            <w:vAlign w:val="center"/>
          </w:tcPr>
          <w:p>
            <w:pPr>
              <w:spacing w:after="0"/>
            </w:pPr>
            <w:r>
              <w:rPr>
                <w:rFonts w:ascii="Calibri" w:hAnsi="Calibri"/>
                <w:b/>
                <w:i w:val="0"/>
                <w:color w:val="09A0B3"/>
                <w:sz w:val="17"/>
              </w:rPr>
              <w:t>CONTACT</w:t>
              <w:br/>
            </w:r>
            <w:r>
              <w:rPr>
                <w:rFonts w:ascii="Calibri" w:hAnsi="Calibri"/>
                <w:b/>
                <w:i w:val="0"/>
                <w:color w:val="173F48"/>
                <w:sz w:val="21"/>
              </w:rPr>
              <w:t>info@ariesai.ai · Attn: Data Protection</w:t>
            </w:r>
          </w:p>
        </w:tc>
      </w:tr>
    </w:tbl>
    <w:p>
      <w:pPr>
        <w:spacing w:after="40"/>
      </w:pPr>
    </w:p>
    <w:tbl>
      <w:tblPr>
        <w:tblW w:type="dxa" w:w="9360"/>
        <w:jc w:val="left"/>
        <w:tblLayout w:type="fixed"/>
        <w:tblLook w:firstColumn="1" w:firstRow="1" w:lastColumn="0" w:lastRow="0" w:noHBand="0" w:noVBand="1" w:val="04A0"/>
        <w:tblInd w:w="120" w:type="dxa"/>
        <w:tblBorders>
          <w:top w:val="single" w:sz="8" w:space="0" w:color="A9DBD5"/>
          <w:left w:val="single" w:sz="8" w:space="0" w:color="A9DBD5"/>
          <w:bottom w:val="single" w:sz="8" w:space="0" w:color="A9DBD5"/>
          <w:right w:val="single" w:sz="8" w:space="0" w:color="A9DBD5"/>
          <w:insideH w:val="single" w:sz="8" w:space="0" w:color="A9DBD5"/>
          <w:insideV w:val="single" w:sz="8" w:space="0" w:color="A9DBD5"/>
        </w:tblBorders>
      </w:tblPr>
      <w:tblGrid>
        <w:gridCol w:w="9360"/>
      </w:tblGrid>
      <w:tr>
        <w:tc>
          <w:tcPr>
            <w:tcW w:type="dxa" w:w="9360"/>
            <w:tcMar>
              <w:top w:w="100" w:type="dxa"/>
              <w:start w:w="140" w:type="dxa"/>
              <w:bottom w:w="100" w:type="dxa"/>
              <w:end w:w="140" w:type="dxa"/>
            </w:tcMar>
            <w:shd w:fill="EAF7F5"/>
          </w:tcPr>
          <w:p>
            <w:pPr>
              <w:spacing w:after="40"/>
            </w:pPr>
            <w:r>
              <w:rPr>
                <w:rFonts w:ascii="Calibri" w:hAnsi="Calibri"/>
                <w:b/>
                <w:i w:val="0"/>
                <w:color w:val="09A0B3"/>
                <w:sz w:val="18"/>
              </w:rPr>
              <w:t xml:space="preserve">POLICY SCOPE  </w:t>
            </w:r>
            <w:r>
              <w:rPr>
                <w:rFonts w:ascii="Calibri" w:hAnsi="Calibri"/>
                <w:b w:val="0"/>
                <w:i w:val="0"/>
                <w:color w:val="173F48"/>
                <w:sz w:val="21"/>
              </w:rPr>
              <w:t>This notice explains how Aries AI handles Personal Data for its websites, commercial relationships and Aries Reach services. When Aries AI processes Customer Data solely on an enterprise customer’s behalf, that processing is governed by the applicable agreement and Data Processing Addendum.</w:t>
            </w:r>
          </w:p>
        </w:tc>
      </w:tr>
    </w:tbl>
    <w:p>
      <w:pPr>
        <w:spacing w:after="0"/>
      </w:pPr>
    </w:p>
    <w:p>
      <w:pPr>
        <w:spacing w:before="240" w:after="0"/>
      </w:pPr>
      <w:r>
        <w:rPr>
          <w:rFonts w:ascii="Calibri" w:hAnsi="Calibri"/>
          <w:b w:val="0"/>
          <w:i/>
          <w:color w:val="5F7A81"/>
          <w:sz w:val="19"/>
        </w:rPr>
        <w:t>Designed for customers, authorized users, stakeholders, procurement teams and privacy reviewers.</w:t>
      </w:r>
    </w:p>
    <w:p>
      <w:pPr>
        <w:sectPr>
          <w:pgSz w:w="12240" w:h="15840"/>
          <w:pgMar w:top="1440" w:right="1440" w:bottom="1440" w:left="1440" w:header="720" w:footer="720" w:gutter="0"/>
          <w:cols w:space="720"/>
          <w:docGrid w:linePitch="360"/>
        </w:sectPr>
      </w:pPr>
    </w:p>
    <w:p>
      <w:pPr>
        <w:pStyle w:val="Heading1"/>
      </w:pPr>
      <w:r>
        <w:t>1. Purpose and scope</w:t>
      </w:r>
    </w:p>
    <w:p>
      <w:r>
        <w:rPr>
          <w:rFonts w:ascii="Calibri" w:hAnsi="Calibri"/>
          <w:b w:val="0"/>
          <w:i w:val="0"/>
          <w:color w:val="2F4F57"/>
          <w:sz w:val="22"/>
        </w:rPr>
        <w:t>Aries AI ("Aries AI", "we", "our" or "us") provides Aries Reach, an enterprise experience-intelligence platform that helps organizations collect, understand, govern and act on stakeholder feedback. This Privacy Policy describes the Personal Data we collect, the sources of that data, why we use it, how it may be disclosed, how long it is retained and the choices available to individuals.</w:t>
      </w:r>
    </w:p>
    <w:p>
      <w:r>
        <w:rPr>
          <w:rFonts w:ascii="Calibri" w:hAnsi="Calibri"/>
          <w:b w:val="0"/>
          <w:i w:val="0"/>
          <w:color w:val="2F4F57"/>
          <w:sz w:val="22"/>
        </w:rPr>
        <w:t>This Policy applies to Aries Reach websites, account and demo interactions, commercial communications, support activities and the Aries Reach Platform. It does not replace a customer’s own privacy notice or cover independent third-party services that a customer chooses to connect.</w:t>
      </w:r>
    </w:p>
    <w:p>
      <w:pPr>
        <w:pStyle w:val="Heading1"/>
      </w:pPr>
      <w:r>
        <w:t>2. Who we are and the roles we perform</w:t>
      </w:r>
    </w:p>
    <w:p>
      <w:r>
        <w:rPr>
          <w:rFonts w:ascii="Calibri" w:hAnsi="Calibri"/>
          <w:b w:val="0"/>
          <w:i w:val="0"/>
          <w:color w:val="2F4F57"/>
          <w:sz w:val="22"/>
        </w:rPr>
        <w:t>The responsible Aries AI entity is the contracting entity identified in the applicable Order Form or other agreement. Our principal operating contact is Aries AI, Kindi Street, Amman, Jordan. Privacy enquiries may be sent to info@ariesai.ai with the subject "Privacy Request".</w:t>
      </w:r>
    </w:p>
    <w:p>
      <w:pPr>
        <w:pStyle w:val="Heading2"/>
      </w:pPr>
      <w:r>
        <w:t>Aries AI as controller</w:t>
      </w:r>
    </w:p>
    <w:p>
      <w:r>
        <w:rPr>
          <w:rFonts w:ascii="Calibri" w:hAnsi="Calibri"/>
          <w:b w:val="0"/>
          <w:i w:val="0"/>
          <w:color w:val="2F4F57"/>
          <w:sz w:val="22"/>
        </w:rPr>
        <w:t>Aries AI generally acts as a controller when it determines why and how Personal Data is used for website operations, demo and sales enquiries, account administration, billing coordination, service security, support, product communications, supplier management and its own legal obligations.</w:t>
      </w:r>
    </w:p>
    <w:p>
      <w:pPr>
        <w:pStyle w:val="Heading2"/>
      </w:pPr>
      <w:r>
        <w:t>Aries AI as processor</w:t>
      </w:r>
    </w:p>
    <w:p>
      <w:r>
        <w:rPr>
          <w:rFonts w:ascii="Calibri" w:hAnsi="Calibri"/>
          <w:b w:val="0"/>
          <w:i w:val="0"/>
          <w:color w:val="2F4F57"/>
          <w:sz w:val="22"/>
        </w:rPr>
        <w:t>For stakeholder feedback, recordings, responses, claims, operational context and other data submitted to Reach by or for an enterprise customer, the customer generally acts as controller and Aries AI acts as processor. We process that Customer Data under the customer’s documented instructions, the applicable agreement and the Aries Reach Data Processing Addendum.</w:t>
      </w:r>
    </w:p>
    <w:tbl>
      <w:tblPr>
        <w:tblW w:type="dxa" w:w="9360"/>
        <w:jc w:val="left"/>
        <w:tblLayout w:type="fixed"/>
        <w:tblLook w:firstColumn="1" w:firstRow="1" w:lastColumn="0" w:lastRow="0" w:noHBand="0" w:noVBand="1" w:val="04A0"/>
        <w:tblInd w:w="120" w:type="dxa"/>
        <w:tblBorders>
          <w:top w:val="single" w:sz="8" w:space="0" w:color="A9DBD5"/>
          <w:left w:val="single" w:sz="8" w:space="0" w:color="A9DBD5"/>
          <w:bottom w:val="single" w:sz="8" w:space="0" w:color="A9DBD5"/>
          <w:right w:val="single" w:sz="8" w:space="0" w:color="A9DBD5"/>
          <w:insideH w:val="single" w:sz="8" w:space="0" w:color="A9DBD5"/>
          <w:insideV w:val="single" w:sz="8" w:space="0" w:color="A9DBD5"/>
        </w:tblBorders>
      </w:tblPr>
      <w:tblGrid>
        <w:gridCol w:w="9360"/>
      </w:tblGrid>
      <w:tr>
        <w:tc>
          <w:tcPr>
            <w:tcW w:type="dxa" w:w="9360"/>
            <w:tcMar>
              <w:top w:w="100" w:type="dxa"/>
              <w:start w:w="140" w:type="dxa"/>
              <w:bottom w:w="100" w:type="dxa"/>
              <w:end w:w="140" w:type="dxa"/>
            </w:tcMar>
            <w:shd w:fill="EAF7F5"/>
          </w:tcPr>
          <w:p>
            <w:pPr>
              <w:spacing w:after="40"/>
            </w:pPr>
            <w:r>
              <w:rPr>
                <w:rFonts w:ascii="Calibri" w:hAnsi="Calibri"/>
                <w:b/>
                <w:i w:val="0"/>
                <w:color w:val="09A0B3"/>
                <w:sz w:val="18"/>
              </w:rPr>
              <w:t xml:space="preserve">IMPORTANT DISTINCTION  </w:t>
            </w:r>
            <w:r>
              <w:rPr>
                <w:rFonts w:ascii="Calibri" w:hAnsi="Calibri"/>
                <w:b w:val="0"/>
                <w:i w:val="0"/>
                <w:color w:val="173F48"/>
                <w:sz w:val="21"/>
              </w:rPr>
              <w:t>If your request concerns feedback or other Personal Data controlled by an Aries Reach customer, contact that organization first. Aries AI will support the organization in responding as required by applicable law and the parties’ agreement.</w:t>
            </w:r>
          </w:p>
        </w:tc>
      </w:tr>
    </w:tbl>
    <w:p>
      <w:pPr>
        <w:spacing w:after="0"/>
      </w:pPr>
    </w:p>
    <w:p>
      <w:pPr>
        <w:sectPr>
          <w:pgSz w:w="12240" w:h="15840"/>
          <w:pgMar w:top="1440" w:right="1440" w:bottom="1440" w:left="1440" w:header="720" w:footer="720" w:gutter="0"/>
          <w:cols w:space="720"/>
          <w:docGrid w:linePitch="360"/>
        </w:sectPr>
      </w:pPr>
    </w:p>
    <w:p>
      <w:pPr>
        <w:pStyle w:val="Heading1"/>
      </w:pPr>
      <w:r>
        <w:t>3. Personal Data we collect</w:t>
      </w:r>
    </w:p>
    <w:tbl>
      <w:tblPr>
        <w:tblW w:type="dxa" w:w="9360"/>
        <w:jc w:val="left"/>
        <w:tblLayout w:type="fixed"/>
        <w:tblLook w:firstColumn="1" w:firstRow="1" w:lastColumn="0" w:lastRow="0" w:noHBand="0" w:noVBand="1" w:val="04A0"/>
        <w:tblInd w:w="120" w:type="dxa"/>
        <w:tblBorders>
          <w:top w:val="single" w:sz="6" w:space="0" w:color="C8DADD"/>
          <w:left w:val="single" w:sz="6" w:space="0" w:color="C8DADD"/>
          <w:bottom w:val="single" w:sz="6" w:space="0" w:color="C8DADD"/>
          <w:right w:val="single" w:sz="6" w:space="0" w:color="C8DADD"/>
          <w:insideH w:val="single" w:sz="6" w:space="0" w:color="C8DADD"/>
          <w:insideV w:val="single" w:sz="6" w:space="0" w:color="C8DADD"/>
        </w:tblBorders>
      </w:tblPr>
      <w:tblGrid>
        <w:gridCol w:w="2500"/>
        <w:gridCol w:w="6860"/>
      </w:tblGrid>
      <w:tr>
        <w:trPr>
          <w:tblHeader w:val="true"/>
        </w:trPr>
        <w:tc>
          <w:tcPr>
            <w:tcW w:type="dxa" w:w="2500"/>
            <w:tcMar>
              <w:top w:w="100" w:type="dxa"/>
              <w:start w:w="140" w:type="dxa"/>
              <w:bottom w:w="100" w:type="dxa"/>
              <w:end w:w="140" w:type="dxa"/>
            </w:tcMar>
            <w:shd w:fill="F2F4F7"/>
          </w:tcPr>
          <w:p>
            <w:pPr>
              <w:spacing w:after="0"/>
            </w:pPr>
            <w:r>
              <w:rPr>
                <w:rFonts w:ascii="Calibri" w:hAnsi="Calibri"/>
                <w:b/>
                <w:i w:val="0"/>
                <w:color w:val="173F48"/>
                <w:sz w:val="18"/>
              </w:rPr>
              <w:t>CATEGORY</w:t>
            </w:r>
          </w:p>
        </w:tc>
        <w:tc>
          <w:tcPr>
            <w:tcW w:type="dxa" w:w="6860"/>
            <w:tcMar>
              <w:top w:w="100" w:type="dxa"/>
              <w:start w:w="140" w:type="dxa"/>
              <w:bottom w:w="100" w:type="dxa"/>
              <w:end w:w="140" w:type="dxa"/>
            </w:tcMar>
            <w:shd w:fill="F2F4F7"/>
          </w:tcPr>
          <w:p>
            <w:pPr>
              <w:spacing w:after="0"/>
            </w:pPr>
            <w:r>
              <w:rPr>
                <w:rFonts w:ascii="Calibri" w:hAnsi="Calibri"/>
                <w:b/>
                <w:i w:val="0"/>
                <w:color w:val="173F48"/>
                <w:sz w:val="18"/>
              </w:rPr>
              <w:t>TYPICAL INFORMATION</w:t>
            </w:r>
          </w:p>
        </w:tc>
      </w:tr>
      <w:tr>
        <w:tc>
          <w:tcPr>
            <w:tcW w:type="dxa" w:w="2500"/>
            <w:vAlign w:val="center"/>
            <w:tcMar>
              <w:top w:w="100" w:type="dxa"/>
              <w:start w:w="140" w:type="dxa"/>
              <w:bottom w:w="100" w:type="dxa"/>
              <w:end w:w="140" w:type="dxa"/>
            </w:tcMar>
          </w:tcPr>
          <w:p>
            <w:pPr>
              <w:spacing w:after="0"/>
            </w:pPr>
            <w:r>
              <w:rPr>
                <w:rFonts w:ascii="Calibri" w:hAnsi="Calibri"/>
                <w:b w:val="0"/>
                <w:i w:val="0"/>
                <w:color w:val="2F4F57"/>
                <w:sz w:val="19"/>
              </w:rPr>
              <w:t>Account and identity</w:t>
            </w:r>
          </w:p>
        </w:tc>
        <w:tc>
          <w:tcPr>
            <w:tcW w:type="dxa" w:w="6860"/>
            <w:vAlign w:val="center"/>
            <w:tcMar>
              <w:top w:w="100" w:type="dxa"/>
              <w:start w:w="140" w:type="dxa"/>
              <w:bottom w:w="100" w:type="dxa"/>
              <w:end w:w="140" w:type="dxa"/>
            </w:tcMar>
          </w:tcPr>
          <w:p>
            <w:pPr>
              <w:spacing w:after="0"/>
            </w:pPr>
            <w:r>
              <w:rPr>
                <w:rFonts w:ascii="Calibri" w:hAnsi="Calibri"/>
                <w:b w:val="0"/>
                <w:i w:val="0"/>
                <w:color w:val="2F4F57"/>
                <w:sz w:val="19"/>
              </w:rPr>
              <w:t>Name, business email, telephone number, authentication credentials, role, permissions and account identifiers.</w:t>
            </w:r>
          </w:p>
        </w:tc>
      </w:tr>
      <w:tr>
        <w:tc>
          <w:tcPr>
            <w:tcW w:type="dxa" w:w="2500"/>
            <w:vAlign w:val="center"/>
            <w:tcMar>
              <w:top w:w="100" w:type="dxa"/>
              <w:start w:w="140" w:type="dxa"/>
              <w:bottom w:w="100" w:type="dxa"/>
              <w:end w:w="140" w:type="dxa"/>
            </w:tcMar>
          </w:tcPr>
          <w:p>
            <w:pPr>
              <w:spacing w:after="0"/>
            </w:pPr>
            <w:r>
              <w:rPr>
                <w:rFonts w:ascii="Calibri" w:hAnsi="Calibri"/>
                <w:b w:val="0"/>
                <w:i w:val="0"/>
                <w:color w:val="2F4F57"/>
                <w:sz w:val="19"/>
              </w:rPr>
              <w:t>Organization and commercial</w:t>
            </w:r>
          </w:p>
        </w:tc>
        <w:tc>
          <w:tcPr>
            <w:tcW w:type="dxa" w:w="6860"/>
            <w:vAlign w:val="center"/>
            <w:tcMar>
              <w:top w:w="100" w:type="dxa"/>
              <w:start w:w="140" w:type="dxa"/>
              <w:bottom w:w="100" w:type="dxa"/>
              <w:end w:w="140" w:type="dxa"/>
            </w:tcMar>
          </w:tcPr>
          <w:p>
            <w:pPr>
              <w:spacing w:after="0"/>
            </w:pPr>
            <w:r>
              <w:rPr>
                <w:rFonts w:ascii="Calibri" w:hAnsi="Calibri"/>
                <w:b w:val="0"/>
                <w:i w:val="0"/>
                <w:color w:val="2F4F57"/>
                <w:sz w:val="19"/>
              </w:rPr>
              <w:t>Organization name, industry, location, subscription, Order Form, billing contact, support history and commercial correspondence.</w:t>
            </w:r>
          </w:p>
        </w:tc>
      </w:tr>
      <w:tr>
        <w:tc>
          <w:tcPr>
            <w:tcW w:type="dxa" w:w="2500"/>
            <w:vAlign w:val="center"/>
            <w:tcMar>
              <w:top w:w="100" w:type="dxa"/>
              <w:start w:w="140" w:type="dxa"/>
              <w:bottom w:w="100" w:type="dxa"/>
              <w:end w:w="140" w:type="dxa"/>
            </w:tcMar>
          </w:tcPr>
          <w:p>
            <w:pPr>
              <w:spacing w:after="0"/>
            </w:pPr>
            <w:r>
              <w:rPr>
                <w:rFonts w:ascii="Calibri" w:hAnsi="Calibri"/>
                <w:b w:val="0"/>
                <w:i w:val="0"/>
                <w:color w:val="2F4F57"/>
                <w:sz w:val="19"/>
              </w:rPr>
              <w:t>Stakeholder and feedback</w:t>
            </w:r>
          </w:p>
        </w:tc>
        <w:tc>
          <w:tcPr>
            <w:tcW w:type="dxa" w:w="6860"/>
            <w:vAlign w:val="center"/>
            <w:tcMar>
              <w:top w:w="100" w:type="dxa"/>
              <w:start w:w="140" w:type="dxa"/>
              <w:bottom w:w="100" w:type="dxa"/>
              <w:end w:w="140" w:type="dxa"/>
            </w:tcMar>
          </w:tcPr>
          <w:p>
            <w:pPr>
              <w:spacing w:after="0"/>
            </w:pPr>
            <w:r>
              <w:rPr>
                <w:rFonts w:ascii="Calibri" w:hAnsi="Calibri"/>
                <w:b w:val="0"/>
                <w:i w:val="0"/>
                <w:color w:val="2F4F57"/>
                <w:sz w:val="19"/>
              </w:rPr>
              <w:t>Text, voice recordings, transcripts, ratings, reviews, language, topic, sentiment, claims, suggestions, attachments and contextual metadata configured by the Customer.</w:t>
            </w:r>
          </w:p>
        </w:tc>
      </w:tr>
      <w:tr>
        <w:tc>
          <w:tcPr>
            <w:tcW w:type="dxa" w:w="2500"/>
            <w:vAlign w:val="center"/>
            <w:tcMar>
              <w:top w:w="100" w:type="dxa"/>
              <w:start w:w="140" w:type="dxa"/>
              <w:bottom w:w="100" w:type="dxa"/>
              <w:end w:w="140" w:type="dxa"/>
            </w:tcMar>
          </w:tcPr>
          <w:p>
            <w:pPr>
              <w:spacing w:after="0"/>
            </w:pPr>
            <w:r>
              <w:rPr>
                <w:rFonts w:ascii="Calibri" w:hAnsi="Calibri"/>
                <w:b w:val="0"/>
                <w:i w:val="0"/>
                <w:color w:val="2F4F57"/>
                <w:sz w:val="19"/>
              </w:rPr>
              <w:t>Usage and device</w:t>
            </w:r>
          </w:p>
        </w:tc>
        <w:tc>
          <w:tcPr>
            <w:tcW w:type="dxa" w:w="6860"/>
            <w:vAlign w:val="center"/>
            <w:tcMar>
              <w:top w:w="100" w:type="dxa"/>
              <w:start w:w="140" w:type="dxa"/>
              <w:bottom w:w="100" w:type="dxa"/>
              <w:end w:w="140" w:type="dxa"/>
            </w:tcMar>
          </w:tcPr>
          <w:p>
            <w:pPr>
              <w:spacing w:after="0"/>
            </w:pPr>
            <w:r>
              <w:rPr>
                <w:rFonts w:ascii="Calibri" w:hAnsi="Calibri"/>
                <w:b w:val="0"/>
                <w:i w:val="0"/>
                <w:color w:val="2F4F57"/>
                <w:sz w:val="19"/>
              </w:rPr>
              <w:t>IP address, device and browser information, session identifiers, activity logs, feature usage, timestamps and diagnostic events.</w:t>
            </w:r>
          </w:p>
        </w:tc>
      </w:tr>
      <w:tr>
        <w:tc>
          <w:tcPr>
            <w:tcW w:type="dxa" w:w="2500"/>
            <w:vAlign w:val="center"/>
            <w:tcMar>
              <w:top w:w="100" w:type="dxa"/>
              <w:start w:w="140" w:type="dxa"/>
              <w:bottom w:w="100" w:type="dxa"/>
              <w:end w:w="140" w:type="dxa"/>
            </w:tcMar>
          </w:tcPr>
          <w:p>
            <w:pPr>
              <w:spacing w:after="0"/>
            </w:pPr>
            <w:r>
              <w:rPr>
                <w:rFonts w:ascii="Calibri" w:hAnsi="Calibri"/>
                <w:b w:val="0"/>
                <w:i w:val="0"/>
                <w:color w:val="2F4F57"/>
                <w:sz w:val="19"/>
              </w:rPr>
              <w:t>Payment and transaction</w:t>
            </w:r>
          </w:p>
        </w:tc>
        <w:tc>
          <w:tcPr>
            <w:tcW w:type="dxa" w:w="6860"/>
            <w:vAlign w:val="center"/>
            <w:tcMar>
              <w:top w:w="100" w:type="dxa"/>
              <w:start w:w="140" w:type="dxa"/>
              <w:bottom w:w="100" w:type="dxa"/>
              <w:end w:w="140" w:type="dxa"/>
            </w:tcMar>
          </w:tcPr>
          <w:p>
            <w:pPr>
              <w:spacing w:after="0"/>
            </w:pPr>
            <w:r>
              <w:rPr>
                <w:rFonts w:ascii="Calibri" w:hAnsi="Calibri"/>
                <w:b w:val="0"/>
                <w:i w:val="0"/>
                <w:color w:val="2F4F57"/>
                <w:sz w:val="19"/>
              </w:rPr>
              <w:t>Billing status, invoice details, transaction reference and limited payment metadata. Payment-card details are handled by the selected payment provider, not stored directly by Aries AI unless expressly stated at the point of collection.</w:t>
            </w:r>
          </w:p>
        </w:tc>
      </w:tr>
      <w:tr>
        <w:tc>
          <w:tcPr>
            <w:tcW w:type="dxa" w:w="2500"/>
            <w:vAlign w:val="center"/>
            <w:tcMar>
              <w:top w:w="100" w:type="dxa"/>
              <w:start w:w="140" w:type="dxa"/>
              <w:bottom w:w="100" w:type="dxa"/>
              <w:end w:w="140" w:type="dxa"/>
            </w:tcMar>
          </w:tcPr>
          <w:p>
            <w:pPr>
              <w:spacing w:after="0"/>
            </w:pPr>
            <w:r>
              <w:rPr>
                <w:rFonts w:ascii="Calibri" w:hAnsi="Calibri"/>
                <w:b w:val="0"/>
                <w:i w:val="0"/>
                <w:color w:val="2F4F57"/>
                <w:sz w:val="19"/>
              </w:rPr>
              <w:t>Demo, support and marketing</w:t>
            </w:r>
          </w:p>
        </w:tc>
        <w:tc>
          <w:tcPr>
            <w:tcW w:type="dxa" w:w="6860"/>
            <w:vAlign w:val="center"/>
            <w:tcMar>
              <w:top w:w="100" w:type="dxa"/>
              <w:start w:w="140" w:type="dxa"/>
              <w:bottom w:w="100" w:type="dxa"/>
              <w:end w:w="140" w:type="dxa"/>
            </w:tcMar>
          </w:tcPr>
          <w:p>
            <w:pPr>
              <w:spacing w:after="0"/>
            </w:pPr>
            <w:r>
              <w:rPr>
                <w:rFonts w:ascii="Calibri" w:hAnsi="Calibri"/>
                <w:b w:val="0"/>
                <w:i w:val="0"/>
                <w:color w:val="2F4F57"/>
                <w:sz w:val="19"/>
              </w:rPr>
              <w:t>Information supplied in forms, meetings, support tickets, emails, surveys and event registrations, together with communication preferences.</w:t>
            </w:r>
          </w:p>
        </w:tc>
      </w:tr>
      <w:tr>
        <w:tc>
          <w:tcPr>
            <w:tcW w:type="dxa" w:w="2500"/>
            <w:vAlign w:val="center"/>
            <w:tcMar>
              <w:top w:w="100" w:type="dxa"/>
              <w:start w:w="140" w:type="dxa"/>
              <w:bottom w:w="100" w:type="dxa"/>
              <w:end w:w="140" w:type="dxa"/>
            </w:tcMar>
          </w:tcPr>
          <w:p>
            <w:pPr>
              <w:spacing w:after="0"/>
            </w:pPr>
            <w:r>
              <w:rPr>
                <w:rFonts w:ascii="Calibri" w:hAnsi="Calibri"/>
                <w:b w:val="0"/>
                <w:i w:val="0"/>
                <w:color w:val="2F4F57"/>
                <w:sz w:val="19"/>
              </w:rPr>
              <w:t>Integration data</w:t>
            </w:r>
          </w:p>
        </w:tc>
        <w:tc>
          <w:tcPr>
            <w:tcW w:type="dxa" w:w="6860"/>
            <w:vAlign w:val="center"/>
            <w:tcMar>
              <w:top w:w="100" w:type="dxa"/>
              <w:start w:w="140" w:type="dxa"/>
              <w:bottom w:w="100" w:type="dxa"/>
              <w:end w:w="140" w:type="dxa"/>
            </w:tcMar>
          </w:tcPr>
          <w:p>
            <w:pPr>
              <w:spacing w:after="0"/>
            </w:pPr>
            <w:r>
              <w:rPr>
                <w:rFonts w:ascii="Calibri" w:hAnsi="Calibri"/>
                <w:b w:val="0"/>
                <w:i w:val="0"/>
                <w:color w:val="2F4F57"/>
                <w:sz w:val="19"/>
              </w:rPr>
              <w:t>Identifiers and records received from customer-authorized CRM, ticketing, messaging, identity, analytics or other connected systems.</w:t>
            </w:r>
          </w:p>
        </w:tc>
      </w:tr>
    </w:tbl>
    <w:p>
      <w:r>
        <w:rPr>
          <w:rFonts w:ascii="Calibri" w:hAnsi="Calibri"/>
          <w:b w:val="0"/>
          <w:i w:val="0"/>
          <w:color w:val="2F4F57"/>
          <w:sz w:val="22"/>
        </w:rPr>
        <w:t>The exact data collected depends on the Customer’s configuration, selected channels, integrations and deployment model. Customers are responsible for configuring Reach consistently with their lawful purpose and privacy obligations.</w:t>
      </w:r>
    </w:p>
    <w:p>
      <w:pPr>
        <w:pStyle w:val="Heading1"/>
      </w:pPr>
      <w:r>
        <w:t>4. Sources of Personal Data</w:t>
      </w:r>
    </w:p>
    <w:p>
      <w:pPr>
        <w:spacing w:after="160" w:line="280" w:lineRule="auto"/>
        <w:numPr>
          <w:ilvl w:val="0"/>
          <w:numId w:val="10"/>
        </w:numPr>
      </w:pPr>
      <w:r>
        <w:rPr>
          <w:rFonts w:ascii="Calibri" w:hAnsi="Calibri"/>
          <w:b w:val="0"/>
          <w:i w:val="0"/>
          <w:color w:val="2F4F57"/>
          <w:sz w:val="22"/>
        </w:rPr>
        <w:t>Directly from account users, prospective customers, support contacts and other individuals who communicate with Aries AI.</w:t>
      </w:r>
    </w:p>
    <w:p>
      <w:pPr>
        <w:spacing w:after="160" w:line="280" w:lineRule="auto"/>
        <w:numPr>
          <w:ilvl w:val="0"/>
          <w:numId w:val="10"/>
        </w:numPr>
      </w:pPr>
      <w:r>
        <w:rPr>
          <w:rFonts w:ascii="Calibri" w:hAnsi="Calibri"/>
          <w:b w:val="0"/>
          <w:i w:val="0"/>
          <w:color w:val="2F4F57"/>
          <w:sz w:val="22"/>
        </w:rPr>
        <w:t>From enterprise customers and their authorized administrators, systems and integrations.</w:t>
      </w:r>
    </w:p>
    <w:p>
      <w:pPr>
        <w:spacing w:after="160" w:line="280" w:lineRule="auto"/>
        <w:numPr>
          <w:ilvl w:val="0"/>
          <w:numId w:val="10"/>
        </w:numPr>
      </w:pPr>
      <w:r>
        <w:rPr>
          <w:rFonts w:ascii="Calibri" w:hAnsi="Calibri"/>
          <w:b w:val="0"/>
          <w:i w:val="0"/>
          <w:color w:val="2F4F57"/>
          <w:sz w:val="22"/>
        </w:rPr>
        <w:t>From stakeholders who submit feedback through QR codes, links, forms, voice channels or other Customer-configured journeys.</w:t>
      </w:r>
    </w:p>
    <w:p>
      <w:pPr>
        <w:spacing w:after="160" w:line="280" w:lineRule="auto"/>
        <w:numPr>
          <w:ilvl w:val="0"/>
          <w:numId w:val="10"/>
        </w:numPr>
      </w:pPr>
      <w:r>
        <w:rPr>
          <w:rFonts w:ascii="Calibri" w:hAnsi="Calibri"/>
          <w:b w:val="0"/>
          <w:i w:val="0"/>
          <w:color w:val="2F4F57"/>
          <w:sz w:val="22"/>
        </w:rPr>
        <w:t>Automatically from browsers, devices, security logs and service activity.</w:t>
      </w:r>
    </w:p>
    <w:p>
      <w:pPr>
        <w:spacing w:after="160" w:line="280" w:lineRule="auto"/>
        <w:numPr>
          <w:ilvl w:val="0"/>
          <w:numId w:val="10"/>
        </w:numPr>
      </w:pPr>
      <w:r>
        <w:rPr>
          <w:rFonts w:ascii="Calibri" w:hAnsi="Calibri"/>
          <w:b w:val="0"/>
          <w:i w:val="0"/>
          <w:color w:val="2F4F57"/>
          <w:sz w:val="22"/>
        </w:rPr>
        <w:t>From service providers, partners and lawful public sources where relevant to commercial, security or compliance activities.</w:t>
      </w:r>
    </w:p>
    <w:p>
      <w:pPr>
        <w:sectPr>
          <w:pgSz w:w="12240" w:h="15840"/>
          <w:pgMar w:top="1440" w:right="1440" w:bottom="1440" w:left="1440" w:header="720" w:footer="720" w:gutter="0"/>
          <w:cols w:space="720"/>
          <w:docGrid w:linePitch="360"/>
        </w:sectPr>
      </w:pPr>
    </w:p>
    <w:p>
      <w:pPr>
        <w:pStyle w:val="Heading1"/>
      </w:pPr>
      <w:r>
        <w:t>5. How and why we use Personal Data</w:t>
      </w:r>
    </w:p>
    <w:tbl>
      <w:tblPr>
        <w:tblW w:type="dxa" w:w="9360"/>
        <w:jc w:val="left"/>
        <w:tblLayout w:type="fixed"/>
        <w:tblLook w:firstColumn="1" w:firstRow="1" w:lastColumn="0" w:lastRow="0" w:noHBand="0" w:noVBand="1" w:val="04A0"/>
        <w:tblInd w:w="120" w:type="dxa"/>
        <w:tblBorders>
          <w:top w:val="single" w:sz="6" w:space="0" w:color="C8DADD"/>
          <w:left w:val="single" w:sz="6" w:space="0" w:color="C8DADD"/>
          <w:bottom w:val="single" w:sz="6" w:space="0" w:color="C8DADD"/>
          <w:right w:val="single" w:sz="6" w:space="0" w:color="C8DADD"/>
          <w:insideH w:val="single" w:sz="6" w:space="0" w:color="C8DADD"/>
          <w:insideV w:val="single" w:sz="6" w:space="0" w:color="C8DADD"/>
        </w:tblBorders>
      </w:tblPr>
      <w:tblGrid>
        <w:gridCol w:w="3300"/>
        <w:gridCol w:w="6060"/>
      </w:tblGrid>
      <w:tr>
        <w:trPr>
          <w:tblHeader w:val="true"/>
        </w:trPr>
        <w:tc>
          <w:tcPr>
            <w:tcW w:type="dxa" w:w="3300"/>
            <w:tcMar>
              <w:top w:w="100" w:type="dxa"/>
              <w:start w:w="140" w:type="dxa"/>
              <w:bottom w:w="100" w:type="dxa"/>
              <w:end w:w="140" w:type="dxa"/>
            </w:tcMar>
            <w:shd w:fill="F2F4F7"/>
          </w:tcPr>
          <w:p>
            <w:pPr>
              <w:spacing w:after="0"/>
            </w:pPr>
            <w:r>
              <w:rPr>
                <w:rFonts w:ascii="Calibri" w:hAnsi="Calibri"/>
                <w:b/>
                <w:i w:val="0"/>
                <w:color w:val="173F48"/>
                <w:sz w:val="18"/>
              </w:rPr>
              <w:t>PURPOSE</w:t>
            </w:r>
          </w:p>
        </w:tc>
        <w:tc>
          <w:tcPr>
            <w:tcW w:type="dxa" w:w="6060"/>
            <w:tcMar>
              <w:top w:w="100" w:type="dxa"/>
              <w:start w:w="140" w:type="dxa"/>
              <w:bottom w:w="100" w:type="dxa"/>
              <w:end w:w="140" w:type="dxa"/>
            </w:tcMar>
            <w:shd w:fill="F2F4F7"/>
          </w:tcPr>
          <w:p>
            <w:pPr>
              <w:spacing w:after="0"/>
            </w:pPr>
            <w:r>
              <w:rPr>
                <w:rFonts w:ascii="Calibri" w:hAnsi="Calibri"/>
                <w:b/>
                <w:i w:val="0"/>
                <w:color w:val="173F48"/>
                <w:sz w:val="18"/>
              </w:rPr>
              <w:t>TYPICAL LEGAL BASIS</w:t>
            </w:r>
          </w:p>
        </w:tc>
      </w:tr>
      <w:tr>
        <w:tc>
          <w:tcPr>
            <w:tcW w:type="dxa" w:w="3300"/>
            <w:vAlign w:val="center"/>
            <w:tcMar>
              <w:top w:w="100" w:type="dxa"/>
              <w:start w:w="140" w:type="dxa"/>
              <w:bottom w:w="100" w:type="dxa"/>
              <w:end w:w="140" w:type="dxa"/>
            </w:tcMar>
          </w:tcPr>
          <w:p>
            <w:pPr>
              <w:spacing w:after="0"/>
            </w:pPr>
            <w:r>
              <w:rPr>
                <w:rFonts w:ascii="Calibri" w:hAnsi="Calibri"/>
                <w:b w:val="0"/>
                <w:i w:val="0"/>
                <w:color w:val="2F4F57"/>
                <w:sz w:val="19"/>
              </w:rPr>
              <w:t>Provide and administer Reach</w:t>
            </w:r>
          </w:p>
        </w:tc>
        <w:tc>
          <w:tcPr>
            <w:tcW w:type="dxa" w:w="6060"/>
            <w:vAlign w:val="center"/>
            <w:tcMar>
              <w:top w:w="100" w:type="dxa"/>
              <w:start w:w="140" w:type="dxa"/>
              <w:bottom w:w="100" w:type="dxa"/>
              <w:end w:w="140" w:type="dxa"/>
            </w:tcMar>
          </w:tcPr>
          <w:p>
            <w:pPr>
              <w:spacing w:after="0"/>
            </w:pPr>
            <w:r>
              <w:rPr>
                <w:rFonts w:ascii="Calibri" w:hAnsi="Calibri"/>
                <w:b w:val="0"/>
                <w:i w:val="0"/>
                <w:color w:val="2F4F57"/>
                <w:sz w:val="19"/>
              </w:rPr>
              <w:t>Contract; steps requested before entering a contract; legitimate interests in operating the service.</w:t>
            </w:r>
          </w:p>
        </w:tc>
      </w:tr>
      <w:tr>
        <w:tc>
          <w:tcPr>
            <w:tcW w:type="dxa" w:w="3300"/>
            <w:vAlign w:val="center"/>
            <w:tcMar>
              <w:top w:w="100" w:type="dxa"/>
              <w:start w:w="140" w:type="dxa"/>
              <w:bottom w:w="100" w:type="dxa"/>
              <w:end w:w="140" w:type="dxa"/>
            </w:tcMar>
          </w:tcPr>
          <w:p>
            <w:pPr>
              <w:spacing w:after="0"/>
            </w:pPr>
            <w:r>
              <w:rPr>
                <w:rFonts w:ascii="Calibri" w:hAnsi="Calibri"/>
                <w:b w:val="0"/>
                <w:i w:val="0"/>
                <w:color w:val="2F4F57"/>
                <w:sz w:val="19"/>
              </w:rPr>
              <w:t>Authenticate users and manage access</w:t>
            </w:r>
          </w:p>
        </w:tc>
        <w:tc>
          <w:tcPr>
            <w:tcW w:type="dxa" w:w="6060"/>
            <w:vAlign w:val="center"/>
            <w:tcMar>
              <w:top w:w="100" w:type="dxa"/>
              <w:start w:w="140" w:type="dxa"/>
              <w:bottom w:w="100" w:type="dxa"/>
              <w:end w:w="140" w:type="dxa"/>
            </w:tcMar>
          </w:tcPr>
          <w:p>
            <w:pPr>
              <w:spacing w:after="0"/>
            </w:pPr>
            <w:r>
              <w:rPr>
                <w:rFonts w:ascii="Calibri" w:hAnsi="Calibri"/>
                <w:b w:val="0"/>
                <w:i w:val="0"/>
                <w:color w:val="2F4F57"/>
                <w:sz w:val="19"/>
              </w:rPr>
              <w:t>Contract; legitimate interests in protecting accounts and enterprise environments.</w:t>
            </w:r>
          </w:p>
        </w:tc>
      </w:tr>
      <w:tr>
        <w:tc>
          <w:tcPr>
            <w:tcW w:type="dxa" w:w="3300"/>
            <w:vAlign w:val="center"/>
            <w:tcMar>
              <w:top w:w="100" w:type="dxa"/>
              <w:start w:w="140" w:type="dxa"/>
              <w:bottom w:w="100" w:type="dxa"/>
              <w:end w:w="140" w:type="dxa"/>
            </w:tcMar>
          </w:tcPr>
          <w:p>
            <w:pPr>
              <w:spacing w:after="0"/>
            </w:pPr>
            <w:r>
              <w:rPr>
                <w:rFonts w:ascii="Calibri" w:hAnsi="Calibri"/>
                <w:b w:val="0"/>
                <w:i w:val="0"/>
                <w:color w:val="2F4F57"/>
                <w:sz w:val="19"/>
              </w:rPr>
              <w:t>Process and analyze Customer Data</w:t>
            </w:r>
          </w:p>
        </w:tc>
        <w:tc>
          <w:tcPr>
            <w:tcW w:type="dxa" w:w="6060"/>
            <w:vAlign w:val="center"/>
            <w:tcMar>
              <w:top w:w="100" w:type="dxa"/>
              <w:start w:w="140" w:type="dxa"/>
              <w:bottom w:w="100" w:type="dxa"/>
              <w:end w:w="140" w:type="dxa"/>
            </w:tcMar>
          </w:tcPr>
          <w:p>
            <w:pPr>
              <w:spacing w:after="0"/>
            </w:pPr>
            <w:r>
              <w:rPr>
                <w:rFonts w:ascii="Calibri" w:hAnsi="Calibri"/>
                <w:b w:val="0"/>
                <w:i w:val="0"/>
                <w:color w:val="2F4F57"/>
                <w:sz w:val="19"/>
              </w:rPr>
              <w:t>Customer instructions and DPA; the Customer determines the applicable lawful basis.</w:t>
            </w:r>
          </w:p>
        </w:tc>
      </w:tr>
      <w:tr>
        <w:tc>
          <w:tcPr>
            <w:tcW w:type="dxa" w:w="3300"/>
            <w:vAlign w:val="center"/>
            <w:tcMar>
              <w:top w:w="100" w:type="dxa"/>
              <w:start w:w="140" w:type="dxa"/>
              <w:bottom w:w="100" w:type="dxa"/>
              <w:end w:w="140" w:type="dxa"/>
            </w:tcMar>
          </w:tcPr>
          <w:p>
            <w:pPr>
              <w:spacing w:after="0"/>
            </w:pPr>
            <w:r>
              <w:rPr>
                <w:rFonts w:ascii="Calibri" w:hAnsi="Calibri"/>
                <w:b w:val="0"/>
                <w:i w:val="0"/>
                <w:color w:val="2F4F57"/>
                <w:sz w:val="19"/>
              </w:rPr>
              <w:t>Billing and commercial administration</w:t>
            </w:r>
          </w:p>
        </w:tc>
        <w:tc>
          <w:tcPr>
            <w:tcW w:type="dxa" w:w="6060"/>
            <w:vAlign w:val="center"/>
            <w:tcMar>
              <w:top w:w="100" w:type="dxa"/>
              <w:start w:w="140" w:type="dxa"/>
              <w:bottom w:w="100" w:type="dxa"/>
              <w:end w:w="140" w:type="dxa"/>
            </w:tcMar>
          </w:tcPr>
          <w:p>
            <w:pPr>
              <w:spacing w:after="0"/>
            </w:pPr>
            <w:r>
              <w:rPr>
                <w:rFonts w:ascii="Calibri" w:hAnsi="Calibri"/>
                <w:b w:val="0"/>
                <w:i w:val="0"/>
                <w:color w:val="2F4F57"/>
                <w:sz w:val="19"/>
              </w:rPr>
              <w:t>Contract; legal obligations; legitimate interests in financial administration.</w:t>
            </w:r>
          </w:p>
        </w:tc>
      </w:tr>
      <w:tr>
        <w:tc>
          <w:tcPr>
            <w:tcW w:type="dxa" w:w="3300"/>
            <w:vAlign w:val="center"/>
            <w:tcMar>
              <w:top w:w="100" w:type="dxa"/>
              <w:start w:w="140" w:type="dxa"/>
              <w:bottom w:w="100" w:type="dxa"/>
              <w:end w:w="140" w:type="dxa"/>
            </w:tcMar>
          </w:tcPr>
          <w:p>
            <w:pPr>
              <w:spacing w:after="0"/>
            </w:pPr>
            <w:r>
              <w:rPr>
                <w:rFonts w:ascii="Calibri" w:hAnsi="Calibri"/>
                <w:b w:val="0"/>
                <w:i w:val="0"/>
                <w:color w:val="2F4F57"/>
                <w:sz w:val="19"/>
              </w:rPr>
              <w:t>Support, reliability and improvement</w:t>
            </w:r>
          </w:p>
        </w:tc>
        <w:tc>
          <w:tcPr>
            <w:tcW w:type="dxa" w:w="6060"/>
            <w:vAlign w:val="center"/>
            <w:tcMar>
              <w:top w:w="100" w:type="dxa"/>
              <w:start w:w="140" w:type="dxa"/>
              <w:bottom w:w="100" w:type="dxa"/>
              <w:end w:w="140" w:type="dxa"/>
            </w:tcMar>
          </w:tcPr>
          <w:p>
            <w:pPr>
              <w:spacing w:after="0"/>
            </w:pPr>
            <w:r>
              <w:rPr>
                <w:rFonts w:ascii="Calibri" w:hAnsi="Calibri"/>
                <w:b w:val="0"/>
                <w:i w:val="0"/>
                <w:color w:val="2F4F57"/>
                <w:sz w:val="19"/>
              </w:rPr>
              <w:t>Contract; legitimate interests in service quality, diagnostics and product development.</w:t>
            </w:r>
          </w:p>
        </w:tc>
      </w:tr>
      <w:tr>
        <w:tc>
          <w:tcPr>
            <w:tcW w:type="dxa" w:w="3300"/>
            <w:vAlign w:val="center"/>
            <w:tcMar>
              <w:top w:w="100" w:type="dxa"/>
              <w:start w:w="140" w:type="dxa"/>
              <w:bottom w:w="100" w:type="dxa"/>
              <w:end w:w="140" w:type="dxa"/>
            </w:tcMar>
          </w:tcPr>
          <w:p>
            <w:pPr>
              <w:spacing w:after="0"/>
            </w:pPr>
            <w:r>
              <w:rPr>
                <w:rFonts w:ascii="Calibri" w:hAnsi="Calibri"/>
                <w:b w:val="0"/>
                <w:i w:val="0"/>
                <w:color w:val="2F4F57"/>
                <w:sz w:val="19"/>
              </w:rPr>
              <w:t>Security, fraud and abuse prevention</w:t>
            </w:r>
          </w:p>
        </w:tc>
        <w:tc>
          <w:tcPr>
            <w:tcW w:type="dxa" w:w="6060"/>
            <w:vAlign w:val="center"/>
            <w:tcMar>
              <w:top w:w="100" w:type="dxa"/>
              <w:start w:w="140" w:type="dxa"/>
              <w:bottom w:w="100" w:type="dxa"/>
              <w:end w:w="140" w:type="dxa"/>
            </w:tcMar>
          </w:tcPr>
          <w:p>
            <w:pPr>
              <w:spacing w:after="0"/>
            </w:pPr>
            <w:r>
              <w:rPr>
                <w:rFonts w:ascii="Calibri" w:hAnsi="Calibri"/>
                <w:b w:val="0"/>
                <w:i w:val="0"/>
                <w:color w:val="2F4F57"/>
                <w:sz w:val="19"/>
              </w:rPr>
              <w:t>Legitimate interests; legal obligations; establishment, exercise or defense of legal claims.</w:t>
            </w:r>
          </w:p>
        </w:tc>
      </w:tr>
      <w:tr>
        <w:tc>
          <w:tcPr>
            <w:tcW w:type="dxa" w:w="3300"/>
            <w:vAlign w:val="center"/>
            <w:tcMar>
              <w:top w:w="100" w:type="dxa"/>
              <w:start w:w="140" w:type="dxa"/>
              <w:bottom w:w="100" w:type="dxa"/>
              <w:end w:w="140" w:type="dxa"/>
            </w:tcMar>
          </w:tcPr>
          <w:p>
            <w:pPr>
              <w:spacing w:after="0"/>
            </w:pPr>
            <w:r>
              <w:rPr>
                <w:rFonts w:ascii="Calibri" w:hAnsi="Calibri"/>
                <w:b w:val="0"/>
                <w:i w:val="0"/>
                <w:color w:val="2F4F57"/>
                <w:sz w:val="19"/>
              </w:rPr>
              <w:t>Product and business communications</w:t>
            </w:r>
          </w:p>
        </w:tc>
        <w:tc>
          <w:tcPr>
            <w:tcW w:type="dxa" w:w="6060"/>
            <w:vAlign w:val="center"/>
            <w:tcMar>
              <w:top w:w="100" w:type="dxa"/>
              <w:start w:w="140" w:type="dxa"/>
              <w:bottom w:w="100" w:type="dxa"/>
              <w:end w:w="140" w:type="dxa"/>
            </w:tcMar>
          </w:tcPr>
          <w:p>
            <w:pPr>
              <w:spacing w:after="0"/>
            </w:pPr>
            <w:r>
              <w:rPr>
                <w:rFonts w:ascii="Calibri" w:hAnsi="Calibri"/>
                <w:b w:val="0"/>
                <w:i w:val="0"/>
                <w:color w:val="2F4F57"/>
                <w:sz w:val="19"/>
              </w:rPr>
              <w:t>Consent where required; legitimate interests for relevant business-to-business communications, subject to opt-out rights.</w:t>
            </w:r>
          </w:p>
        </w:tc>
      </w:tr>
      <w:tr>
        <w:tc>
          <w:tcPr>
            <w:tcW w:type="dxa" w:w="3300"/>
            <w:vAlign w:val="center"/>
            <w:tcMar>
              <w:top w:w="100" w:type="dxa"/>
              <w:start w:w="140" w:type="dxa"/>
              <w:bottom w:w="100" w:type="dxa"/>
              <w:end w:w="140" w:type="dxa"/>
            </w:tcMar>
          </w:tcPr>
          <w:p>
            <w:pPr>
              <w:spacing w:after="0"/>
            </w:pPr>
            <w:r>
              <w:rPr>
                <w:rFonts w:ascii="Calibri" w:hAnsi="Calibri"/>
                <w:b w:val="0"/>
                <w:i w:val="0"/>
                <w:color w:val="2F4F57"/>
                <w:sz w:val="19"/>
              </w:rPr>
              <w:t>Compliance and legal response</w:t>
            </w:r>
          </w:p>
        </w:tc>
        <w:tc>
          <w:tcPr>
            <w:tcW w:type="dxa" w:w="6060"/>
            <w:vAlign w:val="center"/>
            <w:tcMar>
              <w:top w:w="100" w:type="dxa"/>
              <w:start w:w="140" w:type="dxa"/>
              <w:bottom w:w="100" w:type="dxa"/>
              <w:end w:w="140" w:type="dxa"/>
            </w:tcMar>
          </w:tcPr>
          <w:p>
            <w:pPr>
              <w:spacing w:after="0"/>
            </w:pPr>
            <w:r>
              <w:rPr>
                <w:rFonts w:ascii="Calibri" w:hAnsi="Calibri"/>
                <w:b w:val="0"/>
                <w:i w:val="0"/>
                <w:color w:val="2F4F57"/>
                <w:sz w:val="19"/>
              </w:rPr>
              <w:t>Legal obligations; public-interest requirements where applicable; legal claims.</w:t>
            </w:r>
          </w:p>
        </w:tc>
      </w:tr>
    </w:tbl>
    <w:p>
      <w:r>
        <w:rPr>
          <w:rFonts w:ascii="Calibri" w:hAnsi="Calibri"/>
          <w:b w:val="0"/>
          <w:i w:val="0"/>
          <w:color w:val="2F4F57"/>
          <w:sz w:val="22"/>
        </w:rPr>
        <w:t>Where consent is the lawful basis, consent may be withdrawn at any time without affecting processing that occurred before withdrawal. Where legitimate interests are relied upon, we assess those interests against the rights and expectations of affected individuals.</w:t>
      </w:r>
    </w:p>
    <w:p>
      <w:pPr>
        <w:pStyle w:val="Heading1"/>
      </w:pPr>
      <w:r>
        <w:t>6. How Aries Reach uses AI</w:t>
      </w:r>
    </w:p>
    <w:p>
      <w:r>
        <w:rPr>
          <w:rFonts w:ascii="Calibri" w:hAnsi="Calibri"/>
          <w:b w:val="0"/>
          <w:i w:val="0"/>
          <w:color w:val="2F4F57"/>
          <w:sz w:val="22"/>
        </w:rPr>
        <w:t>Reach may use AI-enabled functions to transform stakeholder signals into enterprise intelligence. Depending on configuration, these functions may include speech-to-text transcription, language detection, translation, classification, topic and sentiment analysis, summarization, claim or materiality indicators, routing recommendations, trend detection and report generation.</w:t>
      </w:r>
    </w:p>
    <w:p>
      <w:pPr>
        <w:spacing w:after="160" w:line="280" w:lineRule="auto"/>
        <w:numPr>
          <w:ilvl w:val="0"/>
          <w:numId w:val="10"/>
        </w:numPr>
      </w:pPr>
      <w:r>
        <w:rPr>
          <w:rFonts w:ascii="Calibri" w:hAnsi="Calibri"/>
          <w:b w:val="0"/>
          <w:i w:val="0"/>
          <w:color w:val="2F4F57"/>
          <w:sz w:val="22"/>
        </w:rPr>
        <w:t>AI outputs are probabilistic and may be incomplete or inaccurate. Customers should apply appropriate human review before relying on an output for operational action.</w:t>
      </w:r>
    </w:p>
    <w:p>
      <w:pPr>
        <w:spacing w:after="160" w:line="280" w:lineRule="auto"/>
        <w:numPr>
          <w:ilvl w:val="0"/>
          <w:numId w:val="10"/>
        </w:numPr>
      </w:pPr>
      <w:r>
        <w:rPr>
          <w:rFonts w:ascii="Calibri" w:hAnsi="Calibri"/>
          <w:b w:val="0"/>
          <w:i w:val="0"/>
          <w:color w:val="2F4F57"/>
          <w:sz w:val="22"/>
        </w:rPr>
        <w:t>Reach is designed to support human-led decisions and governed workflows, not to make solely automated decisions about individuals that produce legal or similarly significant effects.</w:t>
      </w:r>
    </w:p>
    <w:p>
      <w:pPr>
        <w:spacing w:after="160" w:line="280" w:lineRule="auto"/>
        <w:numPr>
          <w:ilvl w:val="0"/>
          <w:numId w:val="10"/>
        </w:numPr>
      </w:pPr>
      <w:r>
        <w:rPr>
          <w:rFonts w:ascii="Calibri" w:hAnsi="Calibri"/>
          <w:b w:val="0"/>
          <w:i w:val="0"/>
          <w:color w:val="2F4F57"/>
          <w:sz w:val="22"/>
        </w:rPr>
        <w:t>Aries AI processes Customer Personal Data for AI functions only as permitted by the Agreement, Customer instructions and applicable law.</w:t>
      </w:r>
    </w:p>
    <w:p>
      <w:pPr>
        <w:spacing w:after="160" w:line="280" w:lineRule="auto"/>
        <w:numPr>
          <w:ilvl w:val="0"/>
          <w:numId w:val="10"/>
        </w:numPr>
      </w:pPr>
      <w:r>
        <w:rPr>
          <w:rFonts w:ascii="Calibri" w:hAnsi="Calibri"/>
          <w:b w:val="0"/>
          <w:i w:val="0"/>
          <w:color w:val="2F4F57"/>
          <w:sz w:val="22"/>
        </w:rPr>
        <w:t>Aries AI will not use Customer Personal Data to train generalized models for unrelated customers unless expressly stated in the Agreement or authorized by the Customer in writing.</w:t>
      </w:r>
    </w:p>
    <w:p>
      <w:pPr>
        <w:sectPr>
          <w:pgSz w:w="12240" w:h="15840"/>
          <w:pgMar w:top="1440" w:right="1440" w:bottom="1440" w:left="1440" w:header="720" w:footer="720" w:gutter="0"/>
          <w:cols w:space="720"/>
          <w:docGrid w:linePitch="360"/>
        </w:sectPr>
      </w:pPr>
    </w:p>
    <w:p>
      <w:pPr>
        <w:pStyle w:val="Heading1"/>
      </w:pPr>
      <w:r>
        <w:t>7. Sensitive Personal Data</w:t>
      </w:r>
    </w:p>
    <w:p>
      <w:r>
        <w:rPr>
          <w:rFonts w:ascii="Calibri" w:hAnsi="Calibri"/>
          <w:b w:val="0"/>
          <w:i w:val="0"/>
          <w:color w:val="2F4F57"/>
          <w:sz w:val="22"/>
        </w:rPr>
        <w:t>Reach may be configured for environments where feedback could contain sensitive information. Customers should not request or collect sensitive Personal Data unless it is necessary, lawful and covered by appropriate notices, safeguards and contractual scope. Sensitive information may include health data, government identifiers, financial credentials, biometric information, precise location, information about minors or other specially protected categories.</w:t>
      </w:r>
    </w:p>
    <w:p>
      <w:r>
        <w:rPr>
          <w:rFonts w:ascii="Calibri" w:hAnsi="Calibri"/>
          <w:b w:val="0"/>
          <w:i w:val="0"/>
          <w:color w:val="2F4F57"/>
          <w:sz w:val="22"/>
        </w:rPr>
        <w:t>Users should not include payment-card numbers, passwords, authentication secrets or other security credentials in feedback, recordings, notes or uploads. Aries AI may restrict, quarantine or delete content that presents an immediate security, legal or safety risk, subject to the Agreement and applicable law.</w:t>
      </w:r>
    </w:p>
    <w:p>
      <w:pPr>
        <w:pStyle w:val="Heading1"/>
      </w:pPr>
      <w:r>
        <w:t>8. Disclosure of Personal Data</w:t>
      </w:r>
    </w:p>
    <w:p>
      <w:r>
        <w:rPr>
          <w:rFonts w:ascii="Calibri" w:hAnsi="Calibri"/>
          <w:b w:val="0"/>
          <w:i w:val="0"/>
          <w:color w:val="2F4F57"/>
          <w:sz w:val="22"/>
        </w:rPr>
        <w:t>Aries AI may disclose Personal Data only as reasonably necessary for the purposes described in this Policy, including to:</w:t>
      </w:r>
    </w:p>
    <w:p>
      <w:pPr>
        <w:spacing w:after="160" w:line="280" w:lineRule="auto"/>
        <w:numPr>
          <w:ilvl w:val="0"/>
          <w:numId w:val="10"/>
        </w:numPr>
      </w:pPr>
      <w:r>
        <w:rPr>
          <w:rFonts w:ascii="Calibri" w:hAnsi="Calibri"/>
          <w:b w:val="0"/>
          <w:i w:val="0"/>
          <w:color w:val="2F4F57"/>
          <w:sz w:val="22"/>
        </w:rPr>
        <w:t>The relevant enterprise customer and its authorized users, administrators and designated operational teams.</w:t>
      </w:r>
    </w:p>
    <w:p>
      <w:pPr>
        <w:spacing w:after="160" w:line="280" w:lineRule="auto"/>
        <w:numPr>
          <w:ilvl w:val="0"/>
          <w:numId w:val="10"/>
        </w:numPr>
      </w:pPr>
      <w:r>
        <w:rPr>
          <w:rFonts w:ascii="Calibri" w:hAnsi="Calibri"/>
          <w:b w:val="0"/>
          <w:i w:val="0"/>
          <w:color w:val="2F4F57"/>
          <w:sz w:val="22"/>
        </w:rPr>
        <w:t>Approved service providers and Subprocessors that support hosting, communications, security, analytics, support, AI processing, billing or other contracted functions.</w:t>
      </w:r>
    </w:p>
    <w:p>
      <w:pPr>
        <w:spacing w:after="160" w:line="280" w:lineRule="auto"/>
        <w:numPr>
          <w:ilvl w:val="0"/>
          <w:numId w:val="10"/>
        </w:numPr>
      </w:pPr>
      <w:r>
        <w:rPr>
          <w:rFonts w:ascii="Calibri" w:hAnsi="Calibri"/>
          <w:b w:val="0"/>
          <w:i w:val="0"/>
          <w:color w:val="2F4F57"/>
          <w:sz w:val="22"/>
        </w:rPr>
        <w:t>Payment providers for subscription and transaction administration.</w:t>
      </w:r>
    </w:p>
    <w:p>
      <w:pPr>
        <w:spacing w:after="160" w:line="280" w:lineRule="auto"/>
        <w:numPr>
          <w:ilvl w:val="0"/>
          <w:numId w:val="10"/>
        </w:numPr>
      </w:pPr>
      <w:r>
        <w:rPr>
          <w:rFonts w:ascii="Calibri" w:hAnsi="Calibri"/>
          <w:b w:val="0"/>
          <w:i w:val="0"/>
          <w:color w:val="2F4F57"/>
          <w:sz w:val="22"/>
        </w:rPr>
        <w:t>Customer-authorized integrations and third-party systems selected by the Customer.</w:t>
      </w:r>
    </w:p>
    <w:p>
      <w:pPr>
        <w:spacing w:after="160" w:line="280" w:lineRule="auto"/>
        <w:numPr>
          <w:ilvl w:val="0"/>
          <w:numId w:val="10"/>
        </w:numPr>
      </w:pPr>
      <w:r>
        <w:rPr>
          <w:rFonts w:ascii="Calibri" w:hAnsi="Calibri"/>
          <w:b w:val="0"/>
          <w:i w:val="0"/>
          <w:color w:val="2F4F57"/>
          <w:sz w:val="22"/>
        </w:rPr>
        <w:t>Professional advisers, auditors, insurers and financing or corporate-transaction counterparties under appropriate confidentiality arrangements.</w:t>
      </w:r>
    </w:p>
    <w:p>
      <w:pPr>
        <w:spacing w:after="160" w:line="280" w:lineRule="auto"/>
        <w:numPr>
          <w:ilvl w:val="0"/>
          <w:numId w:val="10"/>
        </w:numPr>
      </w:pPr>
      <w:r>
        <w:rPr>
          <w:rFonts w:ascii="Calibri" w:hAnsi="Calibri"/>
          <w:b w:val="0"/>
          <w:i w:val="0"/>
          <w:color w:val="2F4F57"/>
          <w:sz w:val="22"/>
        </w:rPr>
        <w:t>Government authorities, regulators, courts or other parties where disclosure is required by law or reasonably necessary to protect rights, safety and service integrity.</w:t>
      </w:r>
    </w:p>
    <w:tbl>
      <w:tblPr>
        <w:tblW w:type="dxa" w:w="9360"/>
        <w:jc w:val="left"/>
        <w:tblLayout w:type="fixed"/>
        <w:tblLook w:firstColumn="1" w:firstRow="1" w:lastColumn="0" w:lastRow="0" w:noHBand="0" w:noVBand="1" w:val="04A0"/>
        <w:tblInd w:w="120" w:type="dxa"/>
        <w:tblBorders>
          <w:top w:val="single" w:sz="8" w:space="0" w:color="A9DBD5"/>
          <w:left w:val="single" w:sz="8" w:space="0" w:color="A9DBD5"/>
          <w:bottom w:val="single" w:sz="8" w:space="0" w:color="A9DBD5"/>
          <w:right w:val="single" w:sz="8" w:space="0" w:color="A9DBD5"/>
          <w:insideH w:val="single" w:sz="8" w:space="0" w:color="A9DBD5"/>
          <w:insideV w:val="single" w:sz="8" w:space="0" w:color="A9DBD5"/>
        </w:tblBorders>
      </w:tblPr>
      <w:tblGrid>
        <w:gridCol w:w="9360"/>
      </w:tblGrid>
      <w:tr>
        <w:tc>
          <w:tcPr>
            <w:tcW w:type="dxa" w:w="9360"/>
            <w:tcMar>
              <w:top w:w="100" w:type="dxa"/>
              <w:start w:w="140" w:type="dxa"/>
              <w:bottom w:w="100" w:type="dxa"/>
              <w:end w:w="140" w:type="dxa"/>
            </w:tcMar>
            <w:shd w:fill="EAF7F5"/>
          </w:tcPr>
          <w:p>
            <w:pPr>
              <w:spacing w:after="40"/>
            </w:pPr>
            <w:r>
              <w:rPr>
                <w:rFonts w:ascii="Calibri" w:hAnsi="Calibri"/>
                <w:b/>
                <w:i w:val="0"/>
                <w:color w:val="09A0B3"/>
                <w:sz w:val="18"/>
              </w:rPr>
              <w:t xml:space="preserve">NO SALE OF PERSONAL DATA  </w:t>
            </w:r>
            <w:r>
              <w:rPr>
                <w:rFonts w:ascii="Calibri" w:hAnsi="Calibri"/>
                <w:b w:val="0"/>
                <w:i w:val="0"/>
                <w:color w:val="173F48"/>
                <w:sz w:val="21"/>
              </w:rPr>
              <w:t>Aries AI does not sell Personal Data for monetary consideration. Aries AI does not use Customer Data for cross-context behavioral advertising. Service providers are permitted to use Personal Data only for the contracted purpose and subject to applicable protections.</w:t>
            </w:r>
          </w:p>
        </w:tc>
      </w:tr>
    </w:tbl>
    <w:p>
      <w:pPr>
        <w:spacing w:after="0"/>
      </w:pPr>
    </w:p>
    <w:p>
      <w:pPr>
        <w:pStyle w:val="Heading1"/>
      </w:pPr>
      <w:r>
        <w:t>9. International transfers</w:t>
      </w:r>
    </w:p>
    <w:p>
      <w:r>
        <w:rPr>
          <w:rFonts w:ascii="Calibri" w:hAnsi="Calibri"/>
          <w:b w:val="0"/>
          <w:i w:val="0"/>
          <w:color w:val="2F4F57"/>
          <w:sz w:val="22"/>
        </w:rPr>
        <w:t>Aries AI may operate through teams, infrastructure and service providers located in more than one country. When Personal Data is transferred across borders, the transfer is governed by the deployment design, the Agreement and applicable law. Where required, Aries AI uses an approved transfer mechanism, such as the European Commission’s Standard Contractual Clauses, the UK International Data Transfer Addendum or another legally recognized safeguard.</w:t>
      </w:r>
    </w:p>
    <w:p>
      <w:pPr>
        <w:sectPr>
          <w:pgSz w:w="12240" w:h="15840"/>
          <w:pgMar w:top="1440" w:right="1440" w:bottom="1440" w:left="1440" w:header="720" w:footer="720" w:gutter="0"/>
          <w:cols w:space="720"/>
          <w:docGrid w:linePitch="360"/>
        </w:sectPr>
      </w:pPr>
    </w:p>
    <w:p>
      <w:pPr>
        <w:pStyle w:val="Heading1"/>
      </w:pPr>
      <w:r>
        <w:t>10. Retention and deletion</w:t>
      </w:r>
    </w:p>
    <w:p>
      <w:r>
        <w:rPr>
          <w:rFonts w:ascii="Calibri" w:hAnsi="Calibri"/>
          <w:b w:val="0"/>
          <w:i w:val="0"/>
          <w:color w:val="2F4F57"/>
          <w:sz w:val="22"/>
        </w:rPr>
        <w:t>We retain Personal Data only for as long as reasonably necessary for the purpose for which it was collected, the Customer’s documented retention configuration, the applicable Agreement and legal, accounting, security and dispute-resolution requirements. Retention periods vary by data type, deployment model and jurisdiction.</w:t>
      </w:r>
    </w:p>
    <w:p>
      <w:pPr>
        <w:spacing w:after="160" w:line="280" w:lineRule="auto"/>
        <w:numPr>
          <w:ilvl w:val="0"/>
          <w:numId w:val="10"/>
        </w:numPr>
      </w:pPr>
      <w:r>
        <w:rPr>
          <w:rFonts w:ascii="Calibri" w:hAnsi="Calibri"/>
          <w:b w:val="0"/>
          <w:i w:val="0"/>
          <w:color w:val="2F4F57"/>
          <w:sz w:val="22"/>
        </w:rPr>
        <w:t>Customer Data is retained and deleted according to the Agreement, Order Form, Customer configuration and DPA.</w:t>
      </w:r>
    </w:p>
    <w:p>
      <w:pPr>
        <w:spacing w:after="160" w:line="280" w:lineRule="auto"/>
        <w:numPr>
          <w:ilvl w:val="0"/>
          <w:numId w:val="10"/>
        </w:numPr>
      </w:pPr>
      <w:r>
        <w:rPr>
          <w:rFonts w:ascii="Calibri" w:hAnsi="Calibri"/>
          <w:b w:val="0"/>
          <w:i w:val="0"/>
          <w:color w:val="2F4F57"/>
          <w:sz w:val="22"/>
        </w:rPr>
        <w:t>Account and commercial records may be retained while the relationship is active and for a reasonable period afterward for administration, audit, fraud prevention and legal claims.</w:t>
      </w:r>
    </w:p>
    <w:p>
      <w:pPr>
        <w:spacing w:after="160" w:line="280" w:lineRule="auto"/>
        <w:numPr>
          <w:ilvl w:val="0"/>
          <w:numId w:val="10"/>
        </w:numPr>
      </w:pPr>
      <w:r>
        <w:rPr>
          <w:rFonts w:ascii="Calibri" w:hAnsi="Calibri"/>
          <w:b w:val="0"/>
          <w:i w:val="0"/>
          <w:color w:val="2F4F57"/>
          <w:sz w:val="22"/>
        </w:rPr>
        <w:t>Security logs and diagnostic information are retained for periods appropriate to investigation, resilience and risk management.</w:t>
      </w:r>
    </w:p>
    <w:p>
      <w:pPr>
        <w:spacing w:after="160" w:line="280" w:lineRule="auto"/>
        <w:numPr>
          <w:ilvl w:val="0"/>
          <w:numId w:val="10"/>
        </w:numPr>
      </w:pPr>
      <w:r>
        <w:rPr>
          <w:rFonts w:ascii="Calibri" w:hAnsi="Calibri"/>
          <w:b w:val="0"/>
          <w:i w:val="0"/>
          <w:color w:val="2F4F57"/>
          <w:sz w:val="22"/>
        </w:rPr>
        <w:t>When deletion is due, data is deleted, anonymized or placed beyond active use, subject to lawful backup cycles and mandatory retention obligations.</w:t>
      </w:r>
    </w:p>
    <w:p>
      <w:pPr>
        <w:sectPr>
          <w:pgSz w:w="12240" w:h="15840"/>
          <w:pgMar w:top="1440" w:right="1440" w:bottom="1440" w:left="1440" w:header="720" w:footer="720" w:gutter="0"/>
          <w:cols w:space="720"/>
          <w:docGrid w:linePitch="360"/>
        </w:sectPr>
      </w:pPr>
    </w:p>
    <w:p>
      <w:pPr>
        <w:pStyle w:val="Heading1"/>
      </w:pPr>
      <w:r>
        <w:t>11. Security</w:t>
      </w:r>
    </w:p>
    <w:p>
      <w:r>
        <w:rPr>
          <w:rFonts w:ascii="Calibri" w:hAnsi="Calibri"/>
          <w:b w:val="0"/>
          <w:i w:val="0"/>
          <w:color w:val="2F4F57"/>
          <w:sz w:val="22"/>
        </w:rPr>
        <w:t>Aries AI maintains risk-based technical and organizational measures designed to protect Personal Data against unauthorized access, alteration, disclosure, loss or destruction. Measures may include identity and access controls, encryption in transit and at rest where appropriate, environment segregation, logging and monitoring, secure development practices, resilience controls, incident-response procedures and supplier assurance.</w:t>
      </w:r>
    </w:p>
    <w:p>
      <w:r>
        <w:rPr>
          <w:rFonts w:ascii="Calibri" w:hAnsi="Calibri"/>
          <w:b w:val="0"/>
          <w:i w:val="0"/>
          <w:color w:val="2F4F57"/>
          <w:sz w:val="22"/>
        </w:rPr>
        <w:t>No system can guarantee absolute security. Customers remain responsible for their users, endpoint security, lawful configuration, integration credentials and the controls allocated to them under the selected deployment model. Additional deployment-specific commitments may be documented in the Order Form, solution design or security schedule.</w:t>
      </w:r>
    </w:p>
    <w:p>
      <w:pPr>
        <w:pStyle w:val="Heading1"/>
      </w:pPr>
      <w:r>
        <w:t>12. Cookies and similar technologies</w:t>
      </w:r>
    </w:p>
    <w:p>
      <w:r>
        <w:rPr>
          <w:rFonts w:ascii="Calibri" w:hAnsi="Calibri"/>
          <w:b w:val="0"/>
          <w:i w:val="0"/>
          <w:color w:val="2F4F57"/>
          <w:sz w:val="22"/>
        </w:rPr>
        <w:t>Aries Reach websites and services may use essential cookies or local storage for authentication, security, session continuity, language and user preferences. Analytics or performance technologies may be used where permitted by law and, where required, after consent. Disabling essential technologies may prevent parts of the service from functioning correctly.</w:t>
      </w:r>
    </w:p>
    <w:p>
      <w:r>
        <w:rPr>
          <w:rFonts w:ascii="Calibri" w:hAnsi="Calibri"/>
          <w:b w:val="0"/>
          <w:i w:val="0"/>
          <w:color w:val="2F4F57"/>
          <w:sz w:val="22"/>
        </w:rPr>
        <w:t>Cookie availability and controls may vary by domain, deployment and Customer configuration. Where a separate cookie notice or consent interface is presented, that notice provides additional detail for the relevant service.</w:t>
      </w:r>
    </w:p>
    <w:p>
      <w:pPr>
        <w:pStyle w:val="Heading1"/>
      </w:pPr>
      <w:r>
        <w:t>13. Individual rights and choices</w:t>
      </w:r>
    </w:p>
    <w:p>
      <w:r>
        <w:rPr>
          <w:rFonts w:ascii="Calibri" w:hAnsi="Calibri"/>
          <w:b w:val="0"/>
          <w:i w:val="0"/>
          <w:color w:val="2F4F57"/>
          <w:sz w:val="22"/>
        </w:rPr>
        <w:t>Depending on location and applicable law, individuals may have rights to:</w:t>
      </w:r>
    </w:p>
    <w:p>
      <w:pPr>
        <w:spacing w:after="160" w:line="280" w:lineRule="auto"/>
        <w:numPr>
          <w:ilvl w:val="0"/>
          <w:numId w:val="10"/>
        </w:numPr>
      </w:pPr>
      <w:r>
        <w:rPr>
          <w:rFonts w:ascii="Calibri" w:hAnsi="Calibri"/>
          <w:b w:val="0"/>
          <w:i w:val="0"/>
          <w:color w:val="2F4F57"/>
          <w:sz w:val="22"/>
        </w:rPr>
        <w:t>Receive information about how their Personal Data is processed.</w:t>
      </w:r>
    </w:p>
    <w:p>
      <w:pPr>
        <w:spacing w:after="160" w:line="280" w:lineRule="auto"/>
        <w:numPr>
          <w:ilvl w:val="0"/>
          <w:numId w:val="10"/>
        </w:numPr>
      </w:pPr>
      <w:r>
        <w:rPr>
          <w:rFonts w:ascii="Calibri" w:hAnsi="Calibri"/>
          <w:b w:val="0"/>
          <w:i w:val="0"/>
          <w:color w:val="2F4F57"/>
          <w:sz w:val="22"/>
        </w:rPr>
        <w:t>Access Personal Data and obtain a copy.</w:t>
      </w:r>
    </w:p>
    <w:p>
      <w:pPr>
        <w:spacing w:after="160" w:line="280" w:lineRule="auto"/>
        <w:numPr>
          <w:ilvl w:val="0"/>
          <w:numId w:val="10"/>
        </w:numPr>
      </w:pPr>
      <w:r>
        <w:rPr>
          <w:rFonts w:ascii="Calibri" w:hAnsi="Calibri"/>
          <w:b w:val="0"/>
          <w:i w:val="0"/>
          <w:color w:val="2F4F57"/>
          <w:sz w:val="22"/>
        </w:rPr>
        <w:t>Correct inaccurate or incomplete Personal Data.</w:t>
      </w:r>
    </w:p>
    <w:p>
      <w:pPr>
        <w:spacing w:after="160" w:line="280" w:lineRule="auto"/>
        <w:numPr>
          <w:ilvl w:val="0"/>
          <w:numId w:val="10"/>
        </w:numPr>
      </w:pPr>
      <w:r>
        <w:rPr>
          <w:rFonts w:ascii="Calibri" w:hAnsi="Calibri"/>
          <w:b w:val="0"/>
          <w:i w:val="0"/>
          <w:color w:val="2F4F57"/>
          <w:sz w:val="22"/>
        </w:rPr>
        <w:t>Request deletion or restriction in qualifying circumstances.</w:t>
      </w:r>
    </w:p>
    <w:p>
      <w:pPr>
        <w:spacing w:after="160" w:line="280" w:lineRule="auto"/>
        <w:numPr>
          <w:ilvl w:val="0"/>
          <w:numId w:val="10"/>
        </w:numPr>
      </w:pPr>
      <w:r>
        <w:rPr>
          <w:rFonts w:ascii="Calibri" w:hAnsi="Calibri"/>
          <w:b w:val="0"/>
          <w:i w:val="0"/>
          <w:color w:val="2F4F57"/>
          <w:sz w:val="22"/>
        </w:rPr>
        <w:t>Object to certain processing, including direct marketing.</w:t>
      </w:r>
    </w:p>
    <w:p>
      <w:pPr>
        <w:spacing w:after="160" w:line="280" w:lineRule="auto"/>
        <w:numPr>
          <w:ilvl w:val="0"/>
          <w:numId w:val="10"/>
        </w:numPr>
      </w:pPr>
      <w:r>
        <w:rPr>
          <w:rFonts w:ascii="Calibri" w:hAnsi="Calibri"/>
          <w:b w:val="0"/>
          <w:i w:val="0"/>
          <w:color w:val="2F4F57"/>
          <w:sz w:val="22"/>
        </w:rPr>
        <w:t>Receive portable data where the legal requirements are met.</w:t>
      </w:r>
    </w:p>
    <w:p>
      <w:pPr>
        <w:spacing w:after="160" w:line="280" w:lineRule="auto"/>
        <w:numPr>
          <w:ilvl w:val="0"/>
          <w:numId w:val="10"/>
        </w:numPr>
      </w:pPr>
      <w:r>
        <w:rPr>
          <w:rFonts w:ascii="Calibri" w:hAnsi="Calibri"/>
          <w:b w:val="0"/>
          <w:i w:val="0"/>
          <w:color w:val="2F4F57"/>
          <w:sz w:val="22"/>
        </w:rPr>
        <w:t>Withdraw consent where processing is based on consent.</w:t>
      </w:r>
    </w:p>
    <w:p>
      <w:pPr>
        <w:spacing w:after="160" w:line="280" w:lineRule="auto"/>
        <w:numPr>
          <w:ilvl w:val="0"/>
          <w:numId w:val="10"/>
        </w:numPr>
      </w:pPr>
      <w:r>
        <w:rPr>
          <w:rFonts w:ascii="Calibri" w:hAnsi="Calibri"/>
          <w:b w:val="0"/>
          <w:i w:val="0"/>
          <w:color w:val="2F4F57"/>
          <w:sz w:val="22"/>
        </w:rPr>
        <w:t>Request human review of qualifying automated decisions and submit a complaint to a competent data-protection authority.</w:t>
      </w:r>
    </w:p>
    <w:p>
      <w:r>
        <w:rPr>
          <w:rFonts w:ascii="Calibri" w:hAnsi="Calibri"/>
          <w:b w:val="0"/>
          <w:i w:val="0"/>
          <w:color w:val="2F4F57"/>
          <w:sz w:val="22"/>
        </w:rPr>
        <w:t>To exercise a right concerning data controlled by Aries AI, email info@ariesai.ai with the subject "Privacy Request". We may request information reasonably necessary to verify identity, authority and the scope of the request. Authorized-agent requests must include valid evidence of authority where required.</w:t>
      </w:r>
    </w:p>
    <w:p>
      <w:pPr>
        <w:sectPr>
          <w:pgSz w:w="12240" w:h="15840"/>
          <w:pgMar w:top="1440" w:right="1440" w:bottom="1440" w:left="1440" w:header="720" w:footer="720" w:gutter="0"/>
          <w:cols w:space="720"/>
          <w:docGrid w:linePitch="360"/>
        </w:sectPr>
      </w:pPr>
    </w:p>
    <w:p>
      <w:pPr>
        <w:pStyle w:val="Heading1"/>
      </w:pPr>
      <w:r>
        <w:t>14. Requests concerning Customer Data</w:t>
      </w:r>
    </w:p>
    <w:p>
      <w:r>
        <w:rPr>
          <w:rFonts w:ascii="Calibri" w:hAnsi="Calibri"/>
          <w:b w:val="0"/>
          <w:i w:val="0"/>
          <w:color w:val="2F4F57"/>
          <w:sz w:val="22"/>
        </w:rPr>
        <w:t>Where an enterprise customer controls the relevant data, Aries AI may direct the request to that customer. We will assist the customer in responding in accordance with the DPA and applicable law. A Customer may need to preserve certain information for legal, security or dispute purposes even when deletion is requested.</w:t>
      </w:r>
    </w:p>
    <w:p>
      <w:pPr>
        <w:pStyle w:val="Heading1"/>
      </w:pPr>
      <w:r>
        <w:t>15. Children and minors</w:t>
      </w:r>
    </w:p>
    <w:p>
      <w:r>
        <w:rPr>
          <w:rFonts w:ascii="Calibri" w:hAnsi="Calibri"/>
          <w:b w:val="0"/>
          <w:i w:val="0"/>
          <w:color w:val="2F4F57"/>
          <w:sz w:val="22"/>
        </w:rPr>
        <w:t>Aries Reach is an enterprise service and is not directed to children for independent account creation. If a Customer uses Reach in a context involving minors, the Customer is responsible for establishing a lawful basis, providing age-appropriate notices, obtaining any required parental or guardian authorization, limiting collection and configuring appropriate safeguards. Contact us if you believe Personal Data relating to a minor was collected without the required authority.</w:t>
      </w:r>
    </w:p>
    <w:p>
      <w:pPr>
        <w:pStyle w:val="Heading1"/>
      </w:pPr>
      <w:r>
        <w:t>16. Third-party integrations and links</w:t>
      </w:r>
    </w:p>
    <w:p>
      <w:r>
        <w:rPr>
          <w:rFonts w:ascii="Calibri" w:hAnsi="Calibri"/>
          <w:b w:val="0"/>
          <w:i w:val="0"/>
          <w:color w:val="2F4F57"/>
          <w:sz w:val="22"/>
        </w:rPr>
        <w:t>Customers may connect Reach with third-party services such as identity providers, CRM, ticketing, messaging, analytics or payment systems. Those services may process Personal Data under their own terms and privacy notices. Aries AI is not responsible for a third party’s independent processing, but will apply the Agreement and DPA to integrations it operates as a processor on the Customer’s behalf.</w:t>
      </w:r>
    </w:p>
    <w:p>
      <w:pPr>
        <w:sectPr>
          <w:pgSz w:w="12240" w:h="15840"/>
          <w:pgMar w:top="1440" w:right="1440" w:bottom="1440" w:left="1440" w:header="720" w:footer="720" w:gutter="0"/>
          <w:cols w:space="720"/>
          <w:docGrid w:linePitch="360"/>
        </w:sectPr>
      </w:pPr>
    </w:p>
    <w:p>
      <w:pPr>
        <w:pStyle w:val="Heading1"/>
      </w:pPr>
      <w:r>
        <w:t>17. Regional supplemental information</w:t>
      </w:r>
    </w:p>
    <w:p>
      <w:pPr>
        <w:pStyle w:val="Heading2"/>
      </w:pPr>
      <w:r>
        <w:t>European Economic Area and United Kingdom</w:t>
      </w:r>
    </w:p>
    <w:p>
      <w:r>
        <w:rPr>
          <w:rFonts w:ascii="Calibri" w:hAnsi="Calibri"/>
          <w:b w:val="0"/>
          <w:i w:val="0"/>
          <w:color w:val="2F4F57"/>
          <w:sz w:val="22"/>
        </w:rPr>
        <w:t>Individuals in the EEA or UK may exercise the rights described in Section 13 and may complain to the supervisory authority in their country of residence, place of work or the location of an alleged infringement. International transfers use an applicable safeguard where required.</w:t>
      </w:r>
    </w:p>
    <w:p>
      <w:pPr>
        <w:pStyle w:val="Heading2"/>
      </w:pPr>
      <w:r>
        <w:t>California and comparable US state laws</w:t>
      </w:r>
    </w:p>
    <w:p>
      <w:r>
        <w:rPr>
          <w:rFonts w:ascii="Calibri" w:hAnsi="Calibri"/>
          <w:b w:val="0"/>
          <w:i w:val="0"/>
          <w:color w:val="2F4F57"/>
          <w:sz w:val="22"/>
        </w:rPr>
        <w:t>Where applicable, residents may have rights to know, access, correct, delete or obtain a copy of Personal Data, and to opt out of certain sale, sharing, targeted advertising or profiling activities. Aries AI does not discriminate against an individual for exercising an applicable privacy right. The precise rights and exceptions depend on the relevant law and Aries AI’s role for the data.</w:t>
      </w:r>
    </w:p>
    <w:p>
      <w:pPr>
        <w:pStyle w:val="Heading2"/>
      </w:pPr>
      <w:r>
        <w:t>Other jurisdictions</w:t>
      </w:r>
    </w:p>
    <w:p>
      <w:r>
        <w:rPr>
          <w:rFonts w:ascii="Calibri" w:hAnsi="Calibri"/>
          <w:b w:val="0"/>
          <w:i w:val="0"/>
          <w:color w:val="2F4F57"/>
          <w:sz w:val="22"/>
        </w:rPr>
        <w:t>Additional local rights, transfer rules or complaint mechanisms may apply. Aries AI will assess verified requests under the law applicable to the individual, the Customer and the relevant processing activity.</w:t>
      </w:r>
    </w:p>
    <w:p>
      <w:pPr>
        <w:pStyle w:val="Heading1"/>
      </w:pPr>
      <w:r>
        <w:t>18. Changes to this Policy</w:t>
      </w:r>
    </w:p>
    <w:p>
      <w:r>
        <w:rPr>
          <w:rFonts w:ascii="Calibri" w:hAnsi="Calibri"/>
          <w:b w:val="0"/>
          <w:i w:val="0"/>
          <w:color w:val="2F4F57"/>
          <w:sz w:val="22"/>
        </w:rPr>
        <w:t>We may update this Policy to reflect changes in law, technology, service features or business operations. The effective date and version at the beginning of the document identify the current publication. Where a change materially affects an active enterprise service, notice will be provided through an appropriate channel as required by law or contract.</w:t>
      </w:r>
    </w:p>
    <w:p>
      <w:pPr>
        <w:pStyle w:val="Heading1"/>
      </w:pPr>
      <w:r>
        <w:t>19. Contact Aries AI</w:t>
      </w:r>
    </w:p>
    <w:tbl>
      <w:tblPr>
        <w:tblW w:type="dxa" w:w="9360"/>
        <w:jc w:val="left"/>
        <w:tblLayout w:type="fixed"/>
        <w:tblLook w:firstColumn="1" w:firstRow="1" w:lastColumn="0" w:lastRow="0" w:noHBand="0" w:noVBand="1" w:val="04A0"/>
        <w:tblInd w:w="120" w:type="dxa"/>
        <w:tblBorders>
          <w:top w:val="single" w:sz="6" w:space="0" w:color="C8DADD"/>
          <w:left w:val="single" w:sz="6" w:space="0" w:color="C8DADD"/>
          <w:bottom w:val="single" w:sz="6" w:space="0" w:color="C8DADD"/>
          <w:right w:val="single" w:sz="6" w:space="0" w:color="C8DADD"/>
          <w:insideH w:val="single" w:sz="6" w:space="0" w:color="C8DADD"/>
          <w:insideV w:val="single" w:sz="6" w:space="0" w:color="C8DADD"/>
        </w:tblBorders>
      </w:tblPr>
      <w:tblGrid>
        <w:gridCol w:w="2500"/>
        <w:gridCol w:w="6860"/>
      </w:tblGrid>
      <w:tr>
        <w:trPr>
          <w:tblHeader w:val="true"/>
        </w:trPr>
        <w:tc>
          <w:tcPr>
            <w:tcW w:type="dxa" w:w="2500"/>
            <w:tcMar>
              <w:top w:w="100" w:type="dxa"/>
              <w:start w:w="140" w:type="dxa"/>
              <w:bottom w:w="100" w:type="dxa"/>
              <w:end w:w="140" w:type="dxa"/>
            </w:tcMar>
            <w:shd w:fill="F2F4F7"/>
          </w:tcPr>
          <w:p>
            <w:pPr>
              <w:spacing w:after="0"/>
            </w:pPr>
            <w:r>
              <w:rPr>
                <w:rFonts w:ascii="Calibri" w:hAnsi="Calibri"/>
                <w:b/>
                <w:i w:val="0"/>
                <w:color w:val="173F48"/>
                <w:sz w:val="18"/>
              </w:rPr>
              <w:t>CONTACT FIELD</w:t>
            </w:r>
          </w:p>
        </w:tc>
        <w:tc>
          <w:tcPr>
            <w:tcW w:type="dxa" w:w="6860"/>
            <w:tcMar>
              <w:top w:w="100" w:type="dxa"/>
              <w:start w:w="140" w:type="dxa"/>
              <w:bottom w:w="100" w:type="dxa"/>
              <w:end w:w="140" w:type="dxa"/>
            </w:tcMar>
            <w:shd w:fill="F2F4F7"/>
          </w:tcPr>
          <w:p>
            <w:pPr>
              <w:spacing w:after="0"/>
            </w:pPr>
            <w:r>
              <w:rPr>
                <w:rFonts w:ascii="Calibri" w:hAnsi="Calibri"/>
                <w:b/>
                <w:i w:val="0"/>
                <w:color w:val="173F48"/>
                <w:sz w:val="18"/>
              </w:rPr>
              <w:t>DETAIL</w:t>
            </w:r>
          </w:p>
        </w:tc>
      </w:tr>
      <w:tr>
        <w:tc>
          <w:tcPr>
            <w:tcW w:type="dxa" w:w="2500"/>
            <w:vAlign w:val="center"/>
            <w:tcMar>
              <w:top w:w="100" w:type="dxa"/>
              <w:start w:w="140" w:type="dxa"/>
              <w:bottom w:w="100" w:type="dxa"/>
              <w:end w:w="140" w:type="dxa"/>
            </w:tcMar>
          </w:tcPr>
          <w:p>
            <w:pPr>
              <w:spacing w:after="0"/>
            </w:pPr>
            <w:r>
              <w:rPr>
                <w:rFonts w:ascii="Calibri" w:hAnsi="Calibri"/>
                <w:b w:val="0"/>
                <w:i w:val="0"/>
                <w:color w:val="2F4F57"/>
                <w:sz w:val="19"/>
              </w:rPr>
              <w:t>Organization</w:t>
            </w:r>
          </w:p>
        </w:tc>
        <w:tc>
          <w:tcPr>
            <w:tcW w:type="dxa" w:w="6860"/>
            <w:vAlign w:val="center"/>
            <w:tcMar>
              <w:top w:w="100" w:type="dxa"/>
              <w:start w:w="140" w:type="dxa"/>
              <w:bottom w:w="100" w:type="dxa"/>
              <w:end w:w="140" w:type="dxa"/>
            </w:tcMar>
          </w:tcPr>
          <w:p>
            <w:pPr>
              <w:spacing w:after="0"/>
            </w:pPr>
            <w:r>
              <w:rPr>
                <w:rFonts w:ascii="Calibri" w:hAnsi="Calibri"/>
                <w:b w:val="0"/>
                <w:i w:val="0"/>
                <w:color w:val="2F4F57"/>
                <w:sz w:val="19"/>
              </w:rPr>
              <w:t>Aries AI</w:t>
            </w:r>
          </w:p>
        </w:tc>
      </w:tr>
      <w:tr>
        <w:tc>
          <w:tcPr>
            <w:tcW w:type="dxa" w:w="2500"/>
            <w:vAlign w:val="center"/>
            <w:tcMar>
              <w:top w:w="100" w:type="dxa"/>
              <w:start w:w="140" w:type="dxa"/>
              <w:bottom w:w="100" w:type="dxa"/>
              <w:end w:w="140" w:type="dxa"/>
            </w:tcMar>
          </w:tcPr>
          <w:p>
            <w:pPr>
              <w:spacing w:after="0"/>
            </w:pPr>
            <w:r>
              <w:rPr>
                <w:rFonts w:ascii="Calibri" w:hAnsi="Calibri"/>
                <w:b w:val="0"/>
                <w:i w:val="0"/>
                <w:color w:val="2F4F57"/>
                <w:sz w:val="19"/>
              </w:rPr>
              <w:t>Location</w:t>
            </w:r>
          </w:p>
        </w:tc>
        <w:tc>
          <w:tcPr>
            <w:tcW w:type="dxa" w:w="6860"/>
            <w:vAlign w:val="center"/>
            <w:tcMar>
              <w:top w:w="100" w:type="dxa"/>
              <w:start w:w="140" w:type="dxa"/>
              <w:bottom w:w="100" w:type="dxa"/>
              <w:end w:w="140" w:type="dxa"/>
            </w:tcMar>
          </w:tcPr>
          <w:p>
            <w:pPr>
              <w:spacing w:after="0"/>
            </w:pPr>
            <w:r>
              <w:rPr>
                <w:rFonts w:ascii="Calibri" w:hAnsi="Calibri"/>
                <w:b w:val="0"/>
                <w:i w:val="0"/>
                <w:color w:val="2F4F57"/>
                <w:sz w:val="19"/>
              </w:rPr>
              <w:t>Kindi Street, Amman, Jordan</w:t>
            </w:r>
          </w:p>
        </w:tc>
      </w:tr>
      <w:tr>
        <w:tc>
          <w:tcPr>
            <w:tcW w:type="dxa" w:w="2500"/>
            <w:vAlign w:val="center"/>
            <w:tcMar>
              <w:top w:w="100" w:type="dxa"/>
              <w:start w:w="140" w:type="dxa"/>
              <w:bottom w:w="100" w:type="dxa"/>
              <w:end w:w="140" w:type="dxa"/>
            </w:tcMar>
          </w:tcPr>
          <w:p>
            <w:pPr>
              <w:spacing w:after="0"/>
            </w:pPr>
            <w:r>
              <w:rPr>
                <w:rFonts w:ascii="Calibri" w:hAnsi="Calibri"/>
                <w:b w:val="0"/>
                <w:i w:val="0"/>
                <w:color w:val="2F4F57"/>
                <w:sz w:val="19"/>
              </w:rPr>
              <w:t>Email</w:t>
            </w:r>
          </w:p>
        </w:tc>
        <w:tc>
          <w:tcPr>
            <w:tcW w:type="dxa" w:w="6860"/>
            <w:vAlign w:val="center"/>
            <w:tcMar>
              <w:top w:w="100" w:type="dxa"/>
              <w:start w:w="140" w:type="dxa"/>
              <w:bottom w:w="100" w:type="dxa"/>
              <w:end w:w="140" w:type="dxa"/>
            </w:tcMar>
          </w:tcPr>
          <w:p>
            <w:pPr>
              <w:spacing w:after="0"/>
            </w:pPr>
            <w:r>
              <w:rPr>
                <w:rFonts w:ascii="Calibri" w:hAnsi="Calibri"/>
                <w:b w:val="0"/>
                <w:i w:val="0"/>
                <w:color w:val="2F4F57"/>
                <w:sz w:val="19"/>
              </w:rPr>
              <w:t>info@ariesai.ai</w:t>
            </w:r>
          </w:p>
        </w:tc>
      </w:tr>
      <w:tr>
        <w:tc>
          <w:tcPr>
            <w:tcW w:type="dxa" w:w="2500"/>
            <w:vAlign w:val="center"/>
            <w:tcMar>
              <w:top w:w="100" w:type="dxa"/>
              <w:start w:w="140" w:type="dxa"/>
              <w:bottom w:w="100" w:type="dxa"/>
              <w:end w:w="140" w:type="dxa"/>
            </w:tcMar>
          </w:tcPr>
          <w:p>
            <w:pPr>
              <w:spacing w:after="0"/>
            </w:pPr>
            <w:r>
              <w:rPr>
                <w:rFonts w:ascii="Calibri" w:hAnsi="Calibri"/>
                <w:b w:val="0"/>
                <w:i w:val="0"/>
                <w:color w:val="2F4F57"/>
                <w:sz w:val="19"/>
              </w:rPr>
              <w:t>Request subject</w:t>
            </w:r>
          </w:p>
        </w:tc>
        <w:tc>
          <w:tcPr>
            <w:tcW w:type="dxa" w:w="6860"/>
            <w:vAlign w:val="center"/>
            <w:tcMar>
              <w:top w:w="100" w:type="dxa"/>
              <w:start w:w="140" w:type="dxa"/>
              <w:bottom w:w="100" w:type="dxa"/>
              <w:end w:w="140" w:type="dxa"/>
            </w:tcMar>
          </w:tcPr>
          <w:p>
            <w:pPr>
              <w:spacing w:after="0"/>
            </w:pPr>
            <w:r>
              <w:rPr>
                <w:rFonts w:ascii="Calibri" w:hAnsi="Calibri"/>
                <w:b w:val="0"/>
                <w:i w:val="0"/>
                <w:color w:val="2F4F57"/>
                <w:sz w:val="19"/>
              </w:rPr>
              <w:t>Privacy Request</w:t>
            </w:r>
          </w:p>
        </w:tc>
      </w:tr>
    </w:tbl>
    <w:p>
      <w:r>
        <w:rPr>
          <w:rFonts w:ascii="Calibri" w:hAnsi="Calibri"/>
          <w:b w:val="0"/>
          <w:i w:val="0"/>
          <w:color w:val="2F4F57"/>
          <w:sz w:val="22"/>
        </w:rPr>
        <w:t>For Customer Data, security questionnaires, an executed DPA or the current Subprocessor register, use the subject "Aries Reach — Data Protection Review". This Policy is intended to provide transparent information and does not limit rights that cannot lawfully be waived.</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lvlJc w:val="left"/>
      <w:pPr>
        <w:tabs>
          <w:tab w:val="num" w:pos="720"/>
        </w:tabs>
        <w:ind w:left="720" w:hanging="360"/>
        <w:spacing w:after="160" w:line="280" w:lineRule="auto"/>
      </w:pPr>
    </w:lvl>
  </w:abstractNum>
  <w:num w:numId="10">
    <w:abstractNumId w:val="9"/>
  </w:num>
  <w:abstractNum w:abstractNumId="10">
    <w:multiLevelType w:val="singleLevel"/>
    <w:lvl w:ilvl="0">
      <w:start w:val="1"/>
      <w:numFmt w:val="decimal"/>
      <w:lvlText w:val="%1."/>
      <w:lvlJc w:val="left"/>
      <w:pPr>
        <w:tabs>
          <w:tab w:val="num" w:pos="720"/>
        </w:tabs>
        <w:ind w:left="720" w:hanging="360"/>
        <w:spacing w:after="160" w:line="280" w:lineRule="auto"/>
      </w:pPr>
    </w:lvl>
  </w:abstract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64" w:lineRule="auto"/>
    </w:pPr>
    <w:rPr>
      <w:rFonts w:ascii="Calibri" w:hAnsi="Calibri"/>
      <w:color w:val="2F4F5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09A0B3"/>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09A0B3"/>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73F4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Aries Reach Enterprise Privacy Policy</dc:title>
  <dc:subject>Privacy notice for Aries Reach enterprise services</dc:subject>
  <dc:creator>Aries AI</dc:creator>
  <cp:keywords>Aries Reach, privacy policy, enterprise privacy, Personal Data, GDPR</cp:keywords>
  <dc:description>Public privacy notice — version 2.0</dc:description>
  <cp:lastModifiedBy/>
  <cp:revision>1</cp:revision>
  <dcterms:created xsi:type="dcterms:W3CDTF">2013-12-23T23:15:00Z</dcterms:created>
  <dcterms:modified xsi:type="dcterms:W3CDTF">2013-12-23T23:15:00Z</dcterms:modified>
  <cp:category/>
</cp:coreProperties>
</file>