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360"/>
      </w:pPr>
      <w:r>
        <w:drawing>
          <wp:inline xmlns:a="http://schemas.openxmlformats.org/drawingml/2006/main" xmlns:pic="http://schemas.openxmlformats.org/drawingml/2006/picture">
            <wp:extent cx="2148840" cy="476591"/>
            <wp:docPr id="1" name="Picture 1" descr="Aries Reach logo" title="Aries Reach"/>
            <wp:cNvGraphicFramePr>
              <a:graphicFrameLocks noChangeAspect="1"/>
            </wp:cNvGraphicFramePr>
            <a:graphic>
              <a:graphicData uri="http://schemas.openxmlformats.org/drawingml/2006/picture">
                <pic:pic>
                  <pic:nvPicPr>
                    <pic:cNvPr id="0" name="reach-logo.png"/>
                    <pic:cNvPicPr/>
                  </pic:nvPicPr>
                  <pic:blipFill>
                    <a:blip r:embed="rId11"/>
                    <a:stretch>
                      <a:fillRect/>
                    </a:stretch>
                  </pic:blipFill>
                  <pic:spPr>
                    <a:xfrm>
                      <a:off x="0" y="0"/>
                      <a:ext cx="2148840" cy="476591"/>
                    </a:xfrm>
                    <a:prstGeom prst="rect"/>
                  </pic:spPr>
                </pic:pic>
              </a:graphicData>
            </a:graphic>
          </wp:inline>
        </w:drawing>
      </w:r>
    </w:p>
    <w:p>
      <w:pPr>
        <w:spacing w:after="80"/>
      </w:pPr>
      <w:r>
        <w:rPr>
          <w:rFonts w:ascii="Calibri" w:hAnsi="Calibri"/>
          <w:b/>
          <w:i w:val="0"/>
          <w:color w:val="09A0B3"/>
          <w:sz w:val="18"/>
        </w:rPr>
        <w:t>ENTERPRISE AI USE &amp; INFORMATION NOTICE</w:t>
      </w:r>
    </w:p>
    <w:p>
      <w:pPr>
        <w:spacing w:after="120"/>
      </w:pPr>
      <w:r>
        <w:rPr>
          <w:rFonts w:ascii="Calibri" w:hAnsi="Calibri"/>
          <w:b/>
          <w:i w:val="0"/>
          <w:color w:val="173F48"/>
          <w:sz w:val="56"/>
        </w:rPr>
        <w:t>Aries Reach Enterprise Disclaimer</w:t>
      </w:r>
    </w:p>
    <w:p>
      <w:pPr>
        <w:spacing w:after="360"/>
      </w:pPr>
      <w:r>
        <w:rPr>
          <w:rFonts w:ascii="Calibri" w:hAnsi="Calibri"/>
          <w:b w:val="0"/>
          <w:i w:val="0"/>
          <w:color w:val="5F7A81"/>
          <w:sz w:val="27"/>
        </w:rPr>
        <w:t>Clear boundaries for AI-assisted insight, professional judgment, third-party content and enterprise decision-making.</w:t>
      </w:r>
    </w:p>
    <w:p>
      <w:pPr>
        <w:spacing w:after="60"/>
      </w:pPr>
      <w:r>
        <w:rPr>
          <w:rFonts w:ascii="Calibri" w:hAnsi="Calibri"/>
          <w:b/>
          <w:i w:val="0"/>
          <w:color w:val="09A0B3"/>
          <w:sz w:val="17"/>
        </w:rPr>
        <w:t xml:space="preserve">VERSION  </w:t>
      </w:r>
      <w:r>
        <w:rPr>
          <w:rFonts w:ascii="Calibri" w:hAnsi="Calibri"/>
          <w:b/>
          <w:i w:val="0"/>
          <w:color w:val="173F48"/>
          <w:sz w:val="21"/>
        </w:rPr>
        <w:t>2.0</w:t>
      </w:r>
    </w:p>
    <w:p>
      <w:pPr>
        <w:spacing w:after="60"/>
      </w:pPr>
      <w:r>
        <w:rPr>
          <w:rFonts w:ascii="Calibri" w:hAnsi="Calibri"/>
          <w:b/>
          <w:i w:val="0"/>
          <w:color w:val="09A0B3"/>
          <w:sz w:val="17"/>
        </w:rPr>
        <w:t xml:space="preserve">EFFECTIVE  </w:t>
      </w:r>
      <w:r>
        <w:rPr>
          <w:rFonts w:ascii="Calibri" w:hAnsi="Calibri"/>
          <w:b/>
          <w:i w:val="0"/>
          <w:color w:val="173F48"/>
          <w:sz w:val="21"/>
        </w:rPr>
        <w:t>24 August 2026</w:t>
      </w:r>
    </w:p>
    <w:p>
      <w:pPr>
        <w:spacing w:after="60"/>
      </w:pPr>
      <w:r>
        <w:rPr>
          <w:rFonts w:ascii="Calibri" w:hAnsi="Calibri"/>
          <w:b/>
          <w:i w:val="0"/>
          <w:color w:val="09A0B3"/>
          <w:sz w:val="17"/>
        </w:rPr>
        <w:t xml:space="preserve">STATUS  </w:t>
      </w:r>
      <w:r>
        <w:rPr>
          <w:rFonts w:ascii="Calibri" w:hAnsi="Calibri"/>
          <w:b/>
          <w:i w:val="0"/>
          <w:color w:val="173F48"/>
          <w:sz w:val="21"/>
        </w:rPr>
        <w:t>Public enterprise notice</w:t>
      </w:r>
    </w:p>
    <w:p>
      <w:pPr>
        <w:spacing w:after="60"/>
      </w:pPr>
      <w:r>
        <w:rPr>
          <w:rFonts w:ascii="Calibri" w:hAnsi="Calibri"/>
          <w:b/>
          <w:i w:val="0"/>
          <w:color w:val="09A0B3"/>
          <w:sz w:val="17"/>
        </w:rPr>
        <w:t xml:space="preserve">ORGANIZATION  </w:t>
      </w:r>
      <w:r>
        <w:rPr>
          <w:rFonts w:ascii="Calibri" w:hAnsi="Calibri"/>
          <w:b/>
          <w:i w:val="0"/>
          <w:color w:val="173F48"/>
          <w:sz w:val="21"/>
        </w:rPr>
        <w:t>Aries AI</w:t>
      </w:r>
    </w:p>
    <w:p>
      <w:pPr>
        <w:spacing w:after="60"/>
      </w:pPr>
      <w:r>
        <w:rPr>
          <w:rFonts w:ascii="Calibri" w:hAnsi="Calibri"/>
          <w:b/>
          <w:i w:val="0"/>
          <w:color w:val="09A0B3"/>
          <w:sz w:val="17"/>
        </w:rPr>
        <w:t xml:space="preserve">SERVICE  </w:t>
      </w:r>
      <w:r>
        <w:rPr>
          <w:rFonts w:ascii="Calibri" w:hAnsi="Calibri"/>
          <w:b/>
          <w:i w:val="0"/>
          <w:color w:val="173F48"/>
          <w:sz w:val="21"/>
        </w:rPr>
        <w:t>Aries Reach</w:t>
      </w:r>
    </w:p>
    <w:p>
      <w:pPr>
        <w:spacing w:after="60"/>
      </w:pPr>
      <w:r>
        <w:rPr>
          <w:rFonts w:ascii="Calibri" w:hAnsi="Calibri"/>
          <w:b/>
          <w:i w:val="0"/>
          <w:color w:val="09A0B3"/>
          <w:sz w:val="17"/>
        </w:rPr>
        <w:t xml:space="preserve">CONTACT  </w:t>
      </w:r>
      <w:r>
        <w:rPr>
          <w:rFonts w:ascii="Calibri" w:hAnsi="Calibri"/>
          <w:b/>
          <w:i w:val="0"/>
          <w:color w:val="173F48"/>
          <w:sz w:val="21"/>
        </w:rPr>
        <w:t>info@ariesai.ai</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80" w:type="dxa"/>
              <w:start w:w="120" w:type="dxa"/>
              <w:bottom w:w="80" w:type="dxa"/>
              <w:end w:w="120" w:type="dxa"/>
            </w:tcMar>
            <w:shd w:fill="EAF7F5"/>
          </w:tcPr>
          <w:p>
            <w:pPr>
              <w:spacing w:after="40"/>
            </w:pPr>
            <w:r>
              <w:rPr>
                <w:rFonts w:ascii="Calibri" w:hAnsi="Calibri"/>
                <w:b/>
                <w:i w:val="0"/>
                <w:color w:val="09A0B3"/>
                <w:sz w:val="18"/>
              </w:rPr>
              <w:t xml:space="preserve">HOW TO READ THIS NOTICE  </w:t>
            </w:r>
            <w:r>
              <w:rPr>
                <w:rFonts w:ascii="Calibri" w:hAnsi="Calibri"/>
                <w:b w:val="0"/>
                <w:i w:val="0"/>
                <w:color w:val="173F48"/>
                <w:sz w:val="21"/>
              </w:rPr>
              <w:t>This Disclaimer explains the limits of public information and AI-assisted outputs. It does not replace an executed Order Form, master agreement, service schedule, Data Processing Addendum or other binding commitment. If those documents conflict with this Disclaimer, the binding agreement controls.</w:t>
            </w:r>
          </w:p>
        </w:tc>
      </w:tr>
    </w:tbl>
    <w:p>
      <w:pPr>
        <w:spacing w:after="0"/>
      </w:pPr>
    </w:p>
    <w:p>
      <w:pPr>
        <w:spacing w:before="240" w:after="0"/>
      </w:pPr>
      <w:r>
        <w:rPr>
          <w:rFonts w:ascii="Calibri" w:hAnsi="Calibri"/>
          <w:b w:val="0"/>
          <w:i/>
          <w:color w:val="5F7A81"/>
          <w:sz w:val="18"/>
        </w:rPr>
        <w:t>Legal review note: This draft should be reviewed by qualified counsel before formal adoption, particularly for the jurisdictions and regulated sectors in which Aries Reach will be offered.</w:t>
      </w:r>
    </w:p>
    <w:p>
      <w:r>
        <w:br w:type="page"/>
      </w:r>
    </w:p>
    <w:p>
      <w:pPr>
        <w:pStyle w:val="Heading1"/>
      </w:pPr>
      <w:r>
        <w:t>1. Purpose and scope</w:t>
      </w:r>
    </w:p>
    <w:p>
      <w:r>
        <w:rPr>
          <w:rFonts w:ascii="Calibri" w:hAnsi="Calibri"/>
          <w:b w:val="0"/>
          <w:i w:val="0"/>
          <w:color w:val="2F4F57"/>
          <w:sz w:val="22"/>
        </w:rPr>
        <w:t>This Disclaimer applies to information made available through Aries AI and Aries Reach websites, demonstrations, product materials, documentation, dashboards, reports, AI-enabled features and other public or service interfaces (collectively, the "Materials and Services"). It is intended to clarify how informational content and AI-assisted outputs should be understood and used.</w:t>
      </w:r>
    </w:p>
    <w:p>
      <w:r>
        <w:rPr>
          <w:rFonts w:ascii="Calibri" w:hAnsi="Calibri"/>
          <w:b w:val="0"/>
          <w:i w:val="0"/>
          <w:color w:val="2F4F57"/>
          <w:sz w:val="22"/>
        </w:rPr>
        <w:t>Aries Reach is an enterprise experience-intelligence platform. Depending on the Customer's configuration, it may capture, transcribe, translate, classify, summarize and analyze stakeholder signals; surface themes, sentiment, claims or materiality indicators; and support routing, reporting and continuous-improvement workflows.</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80" w:type="dxa"/>
              <w:start w:w="120" w:type="dxa"/>
              <w:bottom w:w="80" w:type="dxa"/>
              <w:end w:w="120" w:type="dxa"/>
            </w:tcMar>
            <w:shd w:fill="EAF7F5"/>
          </w:tcPr>
          <w:p>
            <w:pPr>
              <w:spacing w:after="40"/>
            </w:pPr>
            <w:r>
              <w:rPr>
                <w:rFonts w:ascii="Calibri" w:hAnsi="Calibri"/>
                <w:b/>
                <w:i w:val="0"/>
                <w:color w:val="09A0B3"/>
                <w:sz w:val="18"/>
              </w:rPr>
              <w:t xml:space="preserve">AGREEMENT PRIORITY  </w:t>
            </w:r>
            <w:r>
              <w:rPr>
                <w:rFonts w:ascii="Calibri" w:hAnsi="Calibri"/>
                <w:b w:val="0"/>
                <w:i w:val="0"/>
                <w:color w:val="173F48"/>
                <w:sz w:val="21"/>
              </w:rPr>
              <w:t>Customer-specific service commitments, warranties, service levels, security responsibilities, remedies and liability are governed by the applicable Agreement. Nothing in this public Disclaimer expands, reduces or overrides a binding contractual commitment.</w:t>
            </w:r>
          </w:p>
        </w:tc>
      </w:tr>
    </w:tbl>
    <w:p>
      <w:pPr>
        <w:spacing w:after="0"/>
      </w:pPr>
    </w:p>
    <w:p>
      <w:pPr>
        <w:pStyle w:val="Heading1"/>
      </w:pPr>
      <w:r>
        <w:t>2. Information, not professional advice</w:t>
      </w:r>
    </w:p>
    <w:p>
      <w:r>
        <w:rPr>
          <w:rFonts w:ascii="Calibri" w:hAnsi="Calibri"/>
          <w:b w:val="0"/>
          <w:i w:val="0"/>
          <w:color w:val="2F4F57"/>
          <w:sz w:val="22"/>
        </w:rPr>
        <w:t>Unless an applicable statement of work expressly says otherwise, the Materials and Services provide general business, operational and product information. They do not constitute legal, medical, financial, accounting, employment, regulatory, safety, cybersecurity or other regulated professional advice.</w:t>
      </w:r>
    </w:p>
    <w:p>
      <w:r>
        <w:rPr>
          <w:rFonts w:ascii="Calibri" w:hAnsi="Calibri"/>
          <w:b w:val="0"/>
          <w:i w:val="0"/>
          <w:color w:val="2F4F57"/>
          <w:sz w:val="22"/>
        </w:rPr>
        <w:t>Customers and users should obtain advice from appropriately qualified professionals when a decision depends on specialized expertise, a regulated standard or the interpretation of law. Aries AI does not assume a professional adviser, fiduciary or decision-maker role merely because information or an AI-assisted output is made available.</w:t>
      </w:r>
    </w:p>
    <w:p>
      <w:pPr>
        <w:pStyle w:val="Heading1"/>
      </w:pPr>
      <w:r>
        <w:t>3. AI-assisted outputs</w:t>
      </w:r>
    </w:p>
    <w:p>
      <w:r>
        <w:rPr>
          <w:rFonts w:ascii="Calibri" w:hAnsi="Calibri"/>
          <w:b w:val="0"/>
          <w:i w:val="0"/>
          <w:color w:val="2F4F57"/>
          <w:sz w:val="22"/>
        </w:rPr>
        <w:t>AI-enabled outputs are probabilistic. They may be incomplete, inaccurate, outdated, inconsistent, biased, contextually unsuitable or affected by speech quality, language variation, prompt design, Customer configuration, source data, connected systems and model behavior. Similar inputs may produce different results.</w:t>
      </w:r>
    </w:p>
    <w:p>
      <w:r>
        <w:rPr>
          <w:rFonts w:ascii="Calibri" w:hAnsi="Calibri"/>
          <w:b w:val="0"/>
          <w:i w:val="0"/>
          <w:color w:val="2F4F57"/>
          <w:sz w:val="22"/>
        </w:rPr>
        <w:t>AI-assisted outputs should be treated as decision support—not verified fact—unless they have been independently checked. The level of review should be proportionate to the potential impact of the decision.</w:t>
      </w:r>
    </w:p>
    <w:p>
      <w:pPr>
        <w:spacing w:after="160" w:line="280" w:lineRule="auto"/>
        <w:numPr>
          <w:ilvl w:val="0"/>
          <w:numId w:val="10"/>
        </w:numPr>
      </w:pPr>
      <w:r>
        <w:rPr>
          <w:rFonts w:ascii="Calibri" w:hAnsi="Calibri"/>
          <w:b w:val="0"/>
          <w:i w:val="0"/>
          <w:color w:val="2F4F57"/>
          <w:sz w:val="22"/>
        </w:rPr>
        <w:t>Confirm material facts against authoritative records and source evidence.</w:t>
      </w:r>
    </w:p>
    <w:p>
      <w:pPr>
        <w:spacing w:after="160" w:line="280" w:lineRule="auto"/>
        <w:numPr>
          <w:ilvl w:val="0"/>
          <w:numId w:val="10"/>
        </w:numPr>
      </w:pPr>
      <w:r>
        <w:rPr>
          <w:rFonts w:ascii="Calibri" w:hAnsi="Calibri"/>
          <w:b w:val="0"/>
          <w:i w:val="0"/>
          <w:color w:val="2F4F57"/>
          <w:sz w:val="22"/>
        </w:rPr>
        <w:t>Apply knowledgeable human review before operational, financial, legal, personnel, safety or reputational action.</w:t>
      </w:r>
    </w:p>
    <w:p>
      <w:pPr>
        <w:spacing w:after="160" w:line="280" w:lineRule="auto"/>
        <w:numPr>
          <w:ilvl w:val="0"/>
          <w:numId w:val="10"/>
        </w:numPr>
      </w:pPr>
      <w:r>
        <w:rPr>
          <w:rFonts w:ascii="Calibri" w:hAnsi="Calibri"/>
          <w:b w:val="0"/>
          <w:i w:val="0"/>
          <w:color w:val="2F4F57"/>
          <w:sz w:val="22"/>
        </w:rPr>
        <w:t>Document the rationale, reviewer and approval path for consequential decisions where appropriate.</w:t>
      </w:r>
    </w:p>
    <w:p>
      <w:pPr>
        <w:spacing w:after="160" w:line="280" w:lineRule="auto"/>
        <w:numPr>
          <w:ilvl w:val="0"/>
          <w:numId w:val="10"/>
        </w:numPr>
      </w:pPr>
      <w:r>
        <w:rPr>
          <w:rFonts w:ascii="Calibri" w:hAnsi="Calibri"/>
          <w:b w:val="0"/>
          <w:i w:val="0"/>
          <w:color w:val="2F4F57"/>
          <w:sz w:val="22"/>
        </w:rPr>
        <w:t>Provide an escalation, correction or appeal route when an output may materially affect an individual.</w:t>
      </w:r>
    </w:p>
    <w:p>
      <w:pPr>
        <w:pStyle w:val="Heading1"/>
      </w:pPr>
      <w:r>
        <w:t>4. Human accountability and decision ownership</w:t>
      </w:r>
    </w:p>
    <w:p>
      <w:r>
        <w:rPr>
          <w:rFonts w:ascii="Calibri" w:hAnsi="Calibri"/>
          <w:b w:val="0"/>
          <w:i w:val="0"/>
          <w:color w:val="2F4F57"/>
          <w:sz w:val="22"/>
        </w:rPr>
        <w:t>The Customer determines the purpose for which Aries Reach is used, selects the data and integrations supplied to it, configures workflows and permissions, chooses who may access outputs and decides what action to take. The Customer remains accountable for decisions made through its people, policies, systems and processes.</w:t>
      </w:r>
    </w:p>
    <w:p>
      <w:r>
        <w:rPr>
          <w:rFonts w:ascii="Calibri" w:hAnsi="Calibri"/>
          <w:b w:val="0"/>
          <w:i w:val="0"/>
          <w:color w:val="2F4F57"/>
          <w:sz w:val="22"/>
        </w:rPr>
        <w:t>Aries AI remains responsible for the obligations allocated to it under the Agreement. This responsibility boundary does not exclude or limit obligations that cannot lawfully be excluded, and it does not transfer Aries AI's contractual responsibilities to the Customer.</w:t>
      </w:r>
    </w:p>
    <w:p>
      <w:pPr>
        <w:pStyle w:val="Heading1"/>
      </w:pPr>
      <w:r>
        <w:t>5. High-impact and regulated uses</w:t>
      </w:r>
    </w:p>
    <w:p>
      <w:r>
        <w:rPr>
          <w:rFonts w:ascii="Calibri" w:hAnsi="Calibri"/>
          <w:b w:val="0"/>
          <w:i w:val="0"/>
          <w:color w:val="2F4F57"/>
          <w:sz w:val="22"/>
        </w:rPr>
        <w:t>Unless expressly approved in an Order Form and supported by the necessary legal, technical and operational safeguards, Aries Reach must not be used as the sole basis for a decision that produces legal or similarly significant effects, or where an incorrect output could reasonably create a material risk to health, safety, fundamental rights, regulatory compliance or essential services.</w:t>
      </w:r>
    </w:p>
    <w:p>
      <w:r>
        <w:rPr>
          <w:rFonts w:ascii="Calibri" w:hAnsi="Calibri"/>
          <w:b w:val="0"/>
          <w:i w:val="0"/>
          <w:color w:val="2F4F57"/>
          <w:sz w:val="22"/>
        </w:rPr>
        <w:t>Examples include clinical diagnosis or treatment, emergency response, safety-critical control, credit or insurance eligibility, employment or disciplinary outcomes, legal determinations, law-enforcement action and automated denial of an essential service. A Customer pursuing a regulated use remains responsible for suitability assessment, impact assessment, lawful basis, notices, human oversight, validation, monitoring and any required authorization.</w:t>
      </w:r>
    </w:p>
    <w:p>
      <w:pPr>
        <w:pStyle w:val="Heading1"/>
      </w:pPr>
      <w:r>
        <w:t>6. Customer Data and sensitive information</w:t>
      </w:r>
    </w:p>
    <w:p>
      <w:r>
        <w:rPr>
          <w:rFonts w:ascii="Calibri" w:hAnsi="Calibri"/>
          <w:b w:val="0"/>
          <w:i w:val="0"/>
          <w:color w:val="2F4F57"/>
          <w:sz w:val="22"/>
        </w:rPr>
        <w:t>Aries Reach may process Personal Data and, depending on a Customer's lawful configuration, information that is sensitive or specially protected. The applicable Privacy Policy, Data Processing Addendum, Order Form and Customer notice govern that processing.</w:t>
      </w:r>
    </w:p>
    <w:p>
      <w:r>
        <w:rPr>
          <w:rFonts w:ascii="Calibri" w:hAnsi="Calibri"/>
          <w:b w:val="0"/>
          <w:i w:val="0"/>
          <w:color w:val="2F4F57"/>
          <w:sz w:val="22"/>
        </w:rPr>
        <w:t>Customers should not request, submit or connect sensitive information unless it is necessary, lawful, within the agreed scope and protected by appropriate access, retention, security and governance controls. Users must not submit payment-card numbers, passwords, authentication secrets or comparable security credentials through feedback, voice recordings, prompts, notes or uploads unless the approved solution design expressly supports that data type.</w:t>
      </w:r>
    </w:p>
    <w:p>
      <w:pPr>
        <w:pStyle w:val="Heading1"/>
      </w:pPr>
      <w:r>
        <w:t>7. Data quality, configuration and context</w:t>
      </w:r>
    </w:p>
    <w:p>
      <w:r>
        <w:rPr>
          <w:rFonts w:ascii="Calibri" w:hAnsi="Calibri"/>
          <w:b w:val="0"/>
          <w:i w:val="0"/>
          <w:color w:val="2F4F57"/>
          <w:sz w:val="22"/>
        </w:rPr>
        <w:t>The usefulness of an output depends on the quality, relevance, completeness and representativeness of its inputs and the way the Customer configures the service. Missing context, low-quality audio, translation ambiguity, inconsistent taxonomies, limited sample sizes, integration errors and unrepresentative feedback may affect results.</w:t>
      </w:r>
    </w:p>
    <w:p>
      <w:r>
        <w:rPr>
          <w:rFonts w:ascii="Calibri" w:hAnsi="Calibri"/>
          <w:b w:val="0"/>
          <w:i w:val="0"/>
          <w:color w:val="2F4F57"/>
          <w:sz w:val="22"/>
        </w:rPr>
        <w:t>Customers should establish reasonable data-quality checks, representative sampling, configuration review, access governance and validation procedures for their use case. Metrics, dashboards and trends should be interpreted in context and should not be presented as statistically conclusive unless the underlying method supports that conclusion.</w:t>
      </w:r>
    </w:p>
    <w:p>
      <w:pPr>
        <w:pStyle w:val="Heading1"/>
      </w:pPr>
      <w:r>
        <w:t>8. Operational boundary summary</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2450"/>
        <w:gridCol w:w="6910"/>
      </w:tblGrid>
      <w:tr>
        <w:trPr>
          <w:tblHeader w:val="true"/>
        </w:trPr>
        <w:tc>
          <w:tcPr>
            <w:tcW w:type="dxa" w:w="2450"/>
            <w:tcMar>
              <w:top w:w="80" w:type="dxa"/>
              <w:start w:w="120" w:type="dxa"/>
              <w:bottom w:w="80" w:type="dxa"/>
              <w:end w:w="120" w:type="dxa"/>
            </w:tcMar>
            <w:shd w:fill="F2F4F7"/>
          </w:tcPr>
          <w:p>
            <w:pPr>
              <w:spacing w:after="0"/>
            </w:pPr>
            <w:r>
              <w:rPr>
                <w:rFonts w:ascii="Calibri" w:hAnsi="Calibri"/>
                <w:b/>
                <w:i w:val="0"/>
                <w:color w:val="173F48"/>
                <w:sz w:val="18"/>
              </w:rPr>
              <w:t>PARTY OR LAYER</w:t>
            </w:r>
          </w:p>
        </w:tc>
        <w:tc>
          <w:tcPr>
            <w:tcW w:type="dxa" w:w="6910"/>
            <w:tcMar>
              <w:top w:w="80" w:type="dxa"/>
              <w:start w:w="120" w:type="dxa"/>
              <w:bottom w:w="80" w:type="dxa"/>
              <w:end w:w="120" w:type="dxa"/>
            </w:tcMar>
            <w:shd w:fill="F2F4F7"/>
          </w:tcPr>
          <w:p>
            <w:pPr>
              <w:spacing w:after="0"/>
            </w:pPr>
            <w:r>
              <w:rPr>
                <w:rFonts w:ascii="Calibri" w:hAnsi="Calibri"/>
                <w:b/>
                <w:i w:val="0"/>
                <w:color w:val="173F48"/>
                <w:sz w:val="18"/>
              </w:rPr>
              <w:t>PRIMARY RESPONSIBILITY</w:t>
            </w:r>
          </w:p>
        </w:tc>
      </w:tr>
      <w:tr>
        <w:tc>
          <w:tcPr>
            <w:tcW w:type="dxa" w:w="2450"/>
            <w:vAlign w:val="center"/>
            <w:tcMar>
              <w:top w:w="80" w:type="dxa"/>
              <w:start w:w="120" w:type="dxa"/>
              <w:bottom w:w="80" w:type="dxa"/>
              <w:end w:w="120" w:type="dxa"/>
            </w:tcMar>
          </w:tcPr>
          <w:p>
            <w:pPr>
              <w:spacing w:after="0"/>
            </w:pPr>
            <w:r>
              <w:rPr>
                <w:rFonts w:ascii="Calibri" w:hAnsi="Calibri"/>
                <w:b w:val="0"/>
                <w:i w:val="0"/>
                <w:color w:val="2F4F57"/>
                <w:sz w:val="18"/>
              </w:rPr>
              <w:t>Aries Reach</w:t>
            </w:r>
          </w:p>
        </w:tc>
        <w:tc>
          <w:tcPr>
            <w:tcW w:type="dxa" w:w="6910"/>
            <w:vAlign w:val="center"/>
            <w:tcMar>
              <w:top w:w="80" w:type="dxa"/>
              <w:start w:w="120" w:type="dxa"/>
              <w:bottom w:w="80" w:type="dxa"/>
              <w:end w:w="120" w:type="dxa"/>
            </w:tcMar>
          </w:tcPr>
          <w:p>
            <w:pPr>
              <w:spacing w:after="0"/>
            </w:pPr>
            <w:r>
              <w:rPr>
                <w:rFonts w:ascii="Calibri" w:hAnsi="Calibri"/>
                <w:b w:val="0"/>
                <w:i w:val="0"/>
                <w:color w:val="2F4F57"/>
                <w:sz w:val="18"/>
              </w:rPr>
              <w:t>Processes configured inputs and provides AI-assisted capabilities materially in accordance with the Agreement and Documentation.</w:t>
            </w:r>
          </w:p>
        </w:tc>
      </w:tr>
      <w:tr>
        <w:tc>
          <w:tcPr>
            <w:tcW w:type="dxa" w:w="2450"/>
            <w:vAlign w:val="center"/>
            <w:tcMar>
              <w:top w:w="80" w:type="dxa"/>
              <w:start w:w="120" w:type="dxa"/>
              <w:bottom w:w="80" w:type="dxa"/>
              <w:end w:w="120" w:type="dxa"/>
            </w:tcMar>
          </w:tcPr>
          <w:p>
            <w:pPr>
              <w:spacing w:after="0"/>
            </w:pPr>
            <w:r>
              <w:rPr>
                <w:rFonts w:ascii="Calibri" w:hAnsi="Calibri"/>
                <w:b w:val="0"/>
                <w:i w:val="0"/>
                <w:color w:val="2F4F57"/>
                <w:sz w:val="18"/>
              </w:rPr>
              <w:t>Aries AI</w:t>
            </w:r>
          </w:p>
        </w:tc>
        <w:tc>
          <w:tcPr>
            <w:tcW w:type="dxa" w:w="6910"/>
            <w:vAlign w:val="center"/>
            <w:tcMar>
              <w:top w:w="80" w:type="dxa"/>
              <w:start w:w="120" w:type="dxa"/>
              <w:bottom w:w="80" w:type="dxa"/>
              <w:end w:w="120" w:type="dxa"/>
            </w:tcMar>
          </w:tcPr>
          <w:p>
            <w:pPr>
              <w:spacing w:after="0"/>
            </w:pPr>
            <w:r>
              <w:rPr>
                <w:rFonts w:ascii="Calibri" w:hAnsi="Calibri"/>
                <w:b w:val="0"/>
                <w:i w:val="0"/>
                <w:color w:val="2F4F57"/>
                <w:sz w:val="18"/>
              </w:rPr>
              <w:t>Performs the contractual, security, confidentiality and data-processing obligations allocated to it in the Agreement.</w:t>
            </w:r>
          </w:p>
        </w:tc>
      </w:tr>
      <w:tr>
        <w:tc>
          <w:tcPr>
            <w:tcW w:type="dxa" w:w="2450"/>
            <w:vAlign w:val="center"/>
            <w:tcMar>
              <w:top w:w="80" w:type="dxa"/>
              <w:start w:w="120" w:type="dxa"/>
              <w:bottom w:w="80" w:type="dxa"/>
              <w:end w:w="120" w:type="dxa"/>
            </w:tcMar>
          </w:tcPr>
          <w:p>
            <w:pPr>
              <w:spacing w:after="0"/>
            </w:pPr>
            <w:r>
              <w:rPr>
                <w:rFonts w:ascii="Calibri" w:hAnsi="Calibri"/>
                <w:b w:val="0"/>
                <w:i w:val="0"/>
                <w:color w:val="2F4F57"/>
                <w:sz w:val="18"/>
              </w:rPr>
              <w:t>Customer</w:t>
            </w:r>
          </w:p>
        </w:tc>
        <w:tc>
          <w:tcPr>
            <w:tcW w:type="dxa" w:w="6910"/>
            <w:vAlign w:val="center"/>
            <w:tcMar>
              <w:top w:w="80" w:type="dxa"/>
              <w:start w:w="120" w:type="dxa"/>
              <w:bottom w:w="80" w:type="dxa"/>
              <w:end w:w="120" w:type="dxa"/>
            </w:tcMar>
          </w:tcPr>
          <w:p>
            <w:pPr>
              <w:spacing w:after="0"/>
            </w:pPr>
            <w:r>
              <w:rPr>
                <w:rFonts w:ascii="Calibri" w:hAnsi="Calibri"/>
                <w:b w:val="0"/>
                <w:i w:val="0"/>
                <w:color w:val="2F4F57"/>
                <w:sz w:val="18"/>
              </w:rPr>
              <w:t>Defines lawful purpose, supplies or authorizes data, configures workflows, manages users and applies appropriate human review.</w:t>
            </w:r>
          </w:p>
        </w:tc>
      </w:tr>
      <w:tr>
        <w:tc>
          <w:tcPr>
            <w:tcW w:type="dxa" w:w="2450"/>
            <w:vAlign w:val="center"/>
            <w:tcMar>
              <w:top w:w="80" w:type="dxa"/>
              <w:start w:w="120" w:type="dxa"/>
              <w:bottom w:w="80" w:type="dxa"/>
              <w:end w:w="120" w:type="dxa"/>
            </w:tcMar>
          </w:tcPr>
          <w:p>
            <w:pPr>
              <w:spacing w:after="0"/>
            </w:pPr>
            <w:r>
              <w:rPr>
                <w:rFonts w:ascii="Calibri" w:hAnsi="Calibri"/>
                <w:b w:val="0"/>
                <w:i w:val="0"/>
                <w:color w:val="2F4F57"/>
                <w:sz w:val="18"/>
              </w:rPr>
              <w:t>Authorized User</w:t>
            </w:r>
          </w:p>
        </w:tc>
        <w:tc>
          <w:tcPr>
            <w:tcW w:type="dxa" w:w="6910"/>
            <w:vAlign w:val="center"/>
            <w:tcMar>
              <w:top w:w="80" w:type="dxa"/>
              <w:start w:w="120" w:type="dxa"/>
              <w:bottom w:w="80" w:type="dxa"/>
              <w:end w:w="120" w:type="dxa"/>
            </w:tcMar>
          </w:tcPr>
          <w:p>
            <w:pPr>
              <w:spacing w:after="0"/>
            </w:pPr>
            <w:r>
              <w:rPr>
                <w:rFonts w:ascii="Calibri" w:hAnsi="Calibri"/>
                <w:b w:val="0"/>
                <w:i w:val="0"/>
                <w:color w:val="2F4F57"/>
                <w:sz w:val="18"/>
              </w:rPr>
              <w:t>Uses the service within assigned permissions, protects credentials and verifies outputs before consequential action.</w:t>
            </w:r>
          </w:p>
        </w:tc>
      </w:tr>
      <w:tr>
        <w:tc>
          <w:tcPr>
            <w:tcW w:type="dxa" w:w="2450"/>
            <w:vAlign w:val="center"/>
            <w:tcMar>
              <w:top w:w="80" w:type="dxa"/>
              <w:start w:w="120" w:type="dxa"/>
              <w:bottom w:w="80" w:type="dxa"/>
              <w:end w:w="120" w:type="dxa"/>
            </w:tcMar>
          </w:tcPr>
          <w:p>
            <w:pPr>
              <w:spacing w:after="0"/>
            </w:pPr>
            <w:r>
              <w:rPr>
                <w:rFonts w:ascii="Calibri" w:hAnsi="Calibri"/>
                <w:b w:val="0"/>
                <w:i w:val="0"/>
                <w:color w:val="2F4F57"/>
                <w:sz w:val="18"/>
              </w:rPr>
              <w:t>Professional adviser</w:t>
            </w:r>
          </w:p>
        </w:tc>
        <w:tc>
          <w:tcPr>
            <w:tcW w:type="dxa" w:w="6910"/>
            <w:vAlign w:val="center"/>
            <w:tcMar>
              <w:top w:w="80" w:type="dxa"/>
              <w:start w:w="120" w:type="dxa"/>
              <w:bottom w:w="80" w:type="dxa"/>
              <w:end w:w="120" w:type="dxa"/>
            </w:tcMar>
          </w:tcPr>
          <w:p>
            <w:pPr>
              <w:spacing w:after="0"/>
            </w:pPr>
            <w:r>
              <w:rPr>
                <w:rFonts w:ascii="Calibri" w:hAnsi="Calibri"/>
                <w:b w:val="0"/>
                <w:i w:val="0"/>
                <w:color w:val="2F4F57"/>
                <w:sz w:val="18"/>
              </w:rPr>
              <w:t>Provides regulated or specialist advice where the decision requires independent professional judgment.</w:t>
            </w:r>
          </w:p>
        </w:tc>
      </w:tr>
    </w:tbl>
    <w:p>
      <w:pPr>
        <w:pStyle w:val="Heading1"/>
      </w:pPr>
      <w:r>
        <w:t>9. Third-party services, models and integrations</w:t>
      </w:r>
    </w:p>
    <w:p>
      <w:r>
        <w:rPr>
          <w:rFonts w:ascii="Calibri" w:hAnsi="Calibri"/>
          <w:b w:val="0"/>
          <w:i w:val="0"/>
          <w:color w:val="2F4F57"/>
          <w:sz w:val="22"/>
        </w:rPr>
        <w:t>Aries Reach may interoperate with third-party hosting, communications, analytics, AI infrastructure, identity, CRM, ticketing, messaging, payment or other services. Customer-selected services are subject to their providers' own terms, availability, security and privacy practices.</w:t>
      </w:r>
    </w:p>
    <w:p>
      <w:r>
        <w:rPr>
          <w:rFonts w:ascii="Calibri" w:hAnsi="Calibri"/>
          <w:b w:val="0"/>
          <w:i w:val="0"/>
          <w:color w:val="2F4F57"/>
          <w:sz w:val="22"/>
        </w:rPr>
        <w:t>Aries AI is responsible for third-party components only to the extent stated in the Agreement and applicable law. Aries AI is not responsible for an independent third party's acts, omissions, changes, outages or data practices outside Aries AI's reasonable control. This does not affect Aries AI's responsibility for approved Subprocessors under the Data Processing Addendum.</w:t>
      </w:r>
    </w:p>
    <w:p>
      <w:pPr>
        <w:pStyle w:val="Heading1"/>
      </w:pPr>
      <w:r>
        <w:t>10. External links and third-party content</w:t>
      </w:r>
    </w:p>
    <w:p>
      <w:r>
        <w:rPr>
          <w:rFonts w:ascii="Calibri" w:hAnsi="Calibri"/>
          <w:b w:val="0"/>
          <w:i w:val="0"/>
          <w:color w:val="2F4F57"/>
          <w:sz w:val="22"/>
        </w:rPr>
        <w:t>Websites or Materials may link to external resources for convenience or context. A link does not constitute endorsement, control or a warranty regarding the external resource. Users should assess the accuracy, security, accessibility, licensing and privacy terms of third-party content before relying on it.</w:t>
      </w:r>
    </w:p>
    <w:p>
      <w:pPr>
        <w:pStyle w:val="Heading1"/>
      </w:pPr>
      <w:r>
        <w:t>11. Availability, change and forward-looking information</w:t>
      </w:r>
    </w:p>
    <w:p>
      <w:r>
        <w:rPr>
          <w:rFonts w:ascii="Calibri" w:hAnsi="Calibri"/>
          <w:b w:val="0"/>
          <w:i w:val="0"/>
          <w:color w:val="2F4F57"/>
          <w:sz w:val="22"/>
        </w:rPr>
        <w:t>Product descriptions, roadmaps, demonstrations, examples and future-looking statements are provided for planning and discussion. Features, availability, release dates, integrations and regional support may change. A future capability is binding only when it is expressly included in an executed Order Form or other signed commitment.</w:t>
      </w:r>
    </w:p>
    <w:p>
      <w:r>
        <w:rPr>
          <w:rFonts w:ascii="Calibri" w:hAnsi="Calibri"/>
          <w:b w:val="0"/>
          <w:i w:val="0"/>
          <w:color w:val="2F4F57"/>
          <w:sz w:val="22"/>
        </w:rPr>
        <w:t>Aries AI designs for reliable service delivery but does not promise uninterrupted or error-free availability except to the extent of an express service-level commitment. Maintenance, security events, external dependencies and circumstances beyond reasonable control may affect availability.</w:t>
      </w:r>
    </w:p>
    <w:p>
      <w:pPr>
        <w:pStyle w:val="Heading1"/>
      </w:pPr>
      <w:r>
        <w:t>12. Warranties and liability</w:t>
      </w:r>
    </w:p>
    <w:p>
      <w:r>
        <w:rPr>
          <w:rFonts w:ascii="Calibri" w:hAnsi="Calibri"/>
          <w:b w:val="0"/>
          <w:i w:val="0"/>
          <w:color w:val="2F4F57"/>
          <w:sz w:val="22"/>
        </w:rPr>
        <w:t>The Agreement states the warranties, remedies, exclusions and liability limits that apply to a Customer's use of Aries Reach. For public Materials and non-contractual access, and to the maximum extent permitted by law, the Materials are provided on an "as available" basis without implied warranties of merchantability, fitness for a particular purpose, title or non-infringement.</w:t>
      </w:r>
    </w:p>
    <w:p>
      <w:r>
        <w:rPr>
          <w:rFonts w:ascii="Calibri" w:hAnsi="Calibri"/>
          <w:b w:val="0"/>
          <w:i w:val="0"/>
          <w:color w:val="2F4F57"/>
          <w:sz w:val="22"/>
        </w:rPr>
        <w:t>To the maximum extent permitted by law, Aries AI is not liable for loss arising solely from a user's unverified reliance on public information or AI-assisted output outside the agreed scope. Any contractual liability remains governed by the Agreement, including negotiated caps and carve-outs. Nothing in this Disclaimer excludes fraud, willful misconduct, death or personal injury caused by negligence where non-excludable, or any other right or remedy that applicable law does not permit the parties to exclude or limit.</w:t>
      </w:r>
    </w:p>
    <w:p>
      <w:pPr>
        <w:pStyle w:val="Heading1"/>
      </w:pPr>
      <w:r>
        <w:t>13. No relationship or authority created</w:t>
      </w:r>
    </w:p>
    <w:p>
      <w:r>
        <w:rPr>
          <w:rFonts w:ascii="Calibri" w:hAnsi="Calibri"/>
          <w:b w:val="0"/>
          <w:i w:val="0"/>
          <w:color w:val="2F4F57"/>
          <w:sz w:val="22"/>
        </w:rPr>
        <w:t>Accessing public Materials, requesting a demonstration or receiving an AI-assisted output does not by itself create a partnership, joint venture, agency, fiduciary, employment, contractor or professional-adviser relationship. A commercial relationship is created only through an authorized agreement. No user may represent that Aries AI has approved a decision, statement or outcome unless Aries AI has expressly done so in writing.</w:t>
      </w:r>
    </w:p>
    <w:p>
      <w:pPr>
        <w:pStyle w:val="Heading1"/>
      </w:pPr>
      <w:r>
        <w:t>14. Intellectual property and permitted use</w:t>
      </w:r>
    </w:p>
    <w:p>
      <w:r>
        <w:rPr>
          <w:rFonts w:ascii="Calibri" w:hAnsi="Calibri"/>
          <w:b w:val="0"/>
          <w:i w:val="0"/>
          <w:color w:val="2F4F57"/>
          <w:sz w:val="22"/>
        </w:rPr>
        <w:t>Aries AI and its licensors retain rights in the Aries Reach platform, software, models, interfaces, Documentation, trademarks and public Materials. Access does not grant ownership or an implied license beyond the limited use permitted by the Agreement, published site terms or applicable law. Customer Data and Customer materials remain governed by the Agreement.</w:t>
      </w:r>
    </w:p>
    <w:p>
      <w:pPr>
        <w:pStyle w:val="Heading1"/>
      </w:pPr>
      <w:r>
        <w:t>15. Changes to this Disclaimer</w:t>
      </w:r>
    </w:p>
    <w:p>
      <w:r>
        <w:rPr>
          <w:rFonts w:ascii="Calibri" w:hAnsi="Calibri"/>
          <w:b w:val="0"/>
          <w:i w:val="0"/>
          <w:color w:val="2F4F57"/>
          <w:sz w:val="22"/>
        </w:rPr>
        <w:t>Aries AI may update this Disclaimer to reflect service, legal or operational changes. The effective date identifies the current version. Updated public language applies from publication but does not amend an active Agreement unless that Agreement permits the change and the required notice or consent process is followed.</w:t>
      </w:r>
    </w:p>
    <w:p>
      <w:pPr>
        <w:pStyle w:val="Heading1"/>
      </w:pPr>
      <w:r>
        <w:t>16. Related documents</w:t>
      </w:r>
    </w:p>
    <w:p>
      <w:pPr>
        <w:spacing w:after="160" w:line="280" w:lineRule="auto"/>
        <w:numPr>
          <w:ilvl w:val="0"/>
          <w:numId w:val="10"/>
        </w:numPr>
      </w:pPr>
      <w:r>
        <w:rPr>
          <w:rFonts w:ascii="Calibri" w:hAnsi="Calibri"/>
          <w:b w:val="0"/>
          <w:i w:val="0"/>
          <w:color w:val="2F4F57"/>
          <w:sz w:val="22"/>
        </w:rPr>
        <w:t>Enterprise Terms of Service — general service, commercial, warranty and liability framework.</w:t>
      </w:r>
    </w:p>
    <w:p>
      <w:pPr>
        <w:spacing w:after="160" w:line="280" w:lineRule="auto"/>
        <w:numPr>
          <w:ilvl w:val="0"/>
          <w:numId w:val="10"/>
        </w:numPr>
      </w:pPr>
      <w:r>
        <w:rPr>
          <w:rFonts w:ascii="Calibri" w:hAnsi="Calibri"/>
          <w:b w:val="0"/>
          <w:i w:val="0"/>
          <w:color w:val="2F4F57"/>
          <w:sz w:val="22"/>
        </w:rPr>
        <w:t>Enterprise Privacy Policy — Aries AI's independent handling of Personal Data and privacy transparency.</w:t>
      </w:r>
    </w:p>
    <w:p>
      <w:pPr>
        <w:spacing w:after="160" w:line="280" w:lineRule="auto"/>
        <w:numPr>
          <w:ilvl w:val="0"/>
          <w:numId w:val="10"/>
        </w:numPr>
      </w:pPr>
      <w:r>
        <w:rPr>
          <w:rFonts w:ascii="Calibri" w:hAnsi="Calibri"/>
          <w:b w:val="0"/>
          <w:i w:val="0"/>
          <w:color w:val="2F4F57"/>
          <w:sz w:val="22"/>
        </w:rPr>
        <w:t>Data Processing Addendum — Customer instructions and processor obligations for Customer Personal Data.</w:t>
      </w:r>
    </w:p>
    <w:p>
      <w:pPr>
        <w:spacing w:after="160" w:line="280" w:lineRule="auto"/>
        <w:numPr>
          <w:ilvl w:val="0"/>
          <w:numId w:val="10"/>
        </w:numPr>
      </w:pPr>
      <w:r>
        <w:rPr>
          <w:rFonts w:ascii="Calibri" w:hAnsi="Calibri"/>
          <w:b w:val="0"/>
          <w:i w:val="0"/>
          <w:color w:val="2F4F57"/>
          <w:sz w:val="22"/>
        </w:rPr>
        <w:t>Order Form, security schedule and solution design — Customer-specific scope, deployment and commitments.</w:t>
      </w:r>
    </w:p>
    <w:p>
      <w:pPr>
        <w:pStyle w:val="Heading1"/>
      </w:pPr>
      <w:r>
        <w:t>17. Contact</w:t>
      </w:r>
    </w:p>
    <w:p>
      <w:r>
        <w:rPr>
          <w:rFonts w:ascii="Calibri" w:hAnsi="Calibri"/>
          <w:b w:val="0"/>
          <w:i w:val="0"/>
          <w:color w:val="2F4F57"/>
          <w:sz w:val="22"/>
        </w:rPr>
        <w:t>Questions about this Disclaimer or the appropriate use of Aries Reach may be sent to info@ariesai.ai with the subject "Aries Reach — Disclaimer Review". Aries AI's principal operating contact is located at Kindi Street, Amman, Jordan. Contractual notices must follow the notice mechanism in the applicable Agreement.</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80" w:type="dxa"/>
              <w:start w:w="120" w:type="dxa"/>
              <w:bottom w:w="80" w:type="dxa"/>
              <w:end w:w="120" w:type="dxa"/>
            </w:tcMar>
            <w:shd w:fill="EAF7F5"/>
          </w:tcPr>
          <w:p>
            <w:pPr>
              <w:spacing w:after="40"/>
            </w:pPr>
            <w:r>
              <w:rPr>
                <w:rFonts w:ascii="Calibri" w:hAnsi="Calibri"/>
                <w:b/>
                <w:i w:val="0"/>
                <w:color w:val="09A0B3"/>
                <w:sz w:val="18"/>
              </w:rPr>
              <w:t xml:space="preserve">ENTERPRISE REVIEW  </w:t>
            </w:r>
            <w:r>
              <w:rPr>
                <w:rFonts w:ascii="Calibri" w:hAnsi="Calibri"/>
                <w:b w:val="0"/>
                <w:i w:val="0"/>
                <w:color w:val="173F48"/>
                <w:sz w:val="21"/>
              </w:rPr>
              <w:t>For a regulated, high-impact or sensitive deployment, request a documented use-case review covering the intended decision, affected people, data categories, human oversight, security, legal basis and Customer-specific contractual requirements before production use.</w:t>
            </w:r>
          </w:p>
        </w:tc>
      </w:tr>
    </w:tbl>
    <w:p>
      <w:pPr>
        <w:spacing w:after="0"/>
      </w:pP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7200"/>
      <w:gridCol w:w="2160"/>
    </w:tblGrid>
    <w:tr>
      <w:tc>
        <w:tcPr>
          <w:tcW w:type="dxa" w:w="7200"/>
          <w:tcMar>
            <w:top w:w="80" w:type="dxa"/>
            <w:start w:w="120" w:type="dxa"/>
            <w:bottom w:w="80" w:type="dxa"/>
            <w:end w:w="120" w:type="dxa"/>
          </w:tcMar>
        </w:tcPr>
        <w:p>
          <w:pPr>
            <w:spacing w:after="0"/>
          </w:pPr>
          <w:r>
            <w:rPr>
              <w:rFonts w:ascii="Calibri" w:hAnsi="Calibri"/>
              <w:b w:val="0"/>
              <w:i w:val="0"/>
              <w:color w:val="5F7A81"/>
              <w:sz w:val="16"/>
            </w:rPr>
            <w:t>© 2026 Aries AI  ·  Public enterprise disclaimer</w:t>
          </w:r>
        </w:p>
      </w:tc>
      <w:tc>
        <w:tcPr>
          <w:tcW w:type="dxa" w:w="2160"/>
          <w:tcMar>
            <w:top w:w="80" w:type="dxa"/>
            <w:start w:w="120" w:type="dxa"/>
            <w:bottom w:w="80" w:type="dxa"/>
            <w:end w:w="120" w:type="dxa"/>
          </w:tcMar>
        </w:tcPr>
        <w:p>
          <w:pPr>
            <w:jc w:val="right"/>
          </w:pPr>
          <w:r>
            <w:rPr>
              <w:rFonts w:ascii="Calibri" w:hAnsi="Calibri"/>
              <w:b/>
              <w:i w:val="0"/>
              <w:color w:val="5F7A81"/>
              <w:sz w:val="17"/>
            </w:rPr>
            <w:t xml:space="preserve">PAGE </w:t>
            <w:fldChar w:fldCharType="begin"/>
            <w:instrText xml:space="preserve"> PAGE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5" w:space="5" w:color="C8DADD"/>
      </w:pBdr>
    </w:pPr>
    <w:r>
      <w:rPr>
        <w:rFonts w:ascii="Calibri" w:hAnsi="Calibri"/>
        <w:b/>
        <w:i w:val="0"/>
        <w:color w:val="5F7A81"/>
        <w:sz w:val="17"/>
      </w:rPr>
      <w:t>ARIES REACH  ·  ENTERPRISE DISCLAIMER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after="160" w:line="280" w:lineRule="auto"/>
      </w:pPr>
    </w:lvl>
  </w:abstractNum>
  <w:num w:numId="10">
    <w:abstractNumId w:val="9"/>
  </w:num>
  <w:abstractNum w:abstractNumId="10">
    <w:multiLevelType w:val="singleLevel"/>
    <w:lvl w:ilvl="0">
      <w:start w:val="1"/>
      <w:numFmt w:val="decimal"/>
      <w:lvlText w:val="%1."/>
      <w:lvlJc w:val="left"/>
      <w:pPr>
        <w:tabs>
          <w:tab w:val="num" w:pos="540"/>
        </w:tabs>
        <w:ind w:left="540" w:hanging="280"/>
        <w:spacing w:after="120" w:line="280" w:lineRule="auto"/>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2F4F5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9A0B3"/>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9A0B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F4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Aries Reach Enterprise Disclaimer</dc:title>
  <dc:subject>Public enterprise disclaimer for Aries Reach AI-assisted services and materials</dc:subject>
  <dc:creator>Aries AI</dc:creator>
  <cp:keywords>Aries Reach, enterprise disclaimer, responsible AI, human oversight, AI outputs, legal notice</cp:keywords>
  <dc:description>Public enterprise disclaimer — version 2.0</dc:description>
  <cp:lastModifiedBy/>
  <cp:revision>1</cp:revision>
  <dcterms:created xsi:type="dcterms:W3CDTF">2013-12-23T23:15:00Z</dcterms:created>
  <dcterms:modified xsi:type="dcterms:W3CDTF">2013-12-23T23:15:00Z</dcterms:modified>
  <cp:category/>
</cp:coreProperties>
</file>