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360"/>
      </w:pPr>
      <w:r>
        <w:drawing>
          <wp:inline xmlns:a="http://schemas.openxmlformats.org/drawingml/2006/main" xmlns:pic="http://schemas.openxmlformats.org/drawingml/2006/picture">
            <wp:extent cx="2148840" cy="476591"/>
            <wp:docPr id="1" name="Picture 1" descr="Aries Reach logo" title="Aries Reach"/>
            <wp:cNvGraphicFramePr>
              <a:graphicFrameLocks noChangeAspect="1"/>
            </wp:cNvGraphicFramePr>
            <a:graphic>
              <a:graphicData uri="http://schemas.openxmlformats.org/drawingml/2006/picture">
                <pic:pic>
                  <pic:nvPicPr>
                    <pic:cNvPr id="0" name="reach-logo.png"/>
                    <pic:cNvPicPr/>
                  </pic:nvPicPr>
                  <pic:blipFill>
                    <a:blip r:embed="rId11"/>
                    <a:stretch>
                      <a:fillRect/>
                    </a:stretch>
                  </pic:blipFill>
                  <pic:spPr>
                    <a:xfrm>
                      <a:off x="0" y="0"/>
                      <a:ext cx="2148840" cy="476591"/>
                    </a:xfrm>
                    <a:prstGeom prst="rect"/>
                  </pic:spPr>
                </pic:pic>
              </a:graphicData>
            </a:graphic>
          </wp:inline>
        </w:drawing>
      </w:r>
    </w:p>
    <w:p>
      <w:pPr>
        <w:spacing w:after="80"/>
      </w:pPr>
      <w:r>
        <w:rPr>
          <w:rFonts w:ascii="Calibri" w:hAnsi="Calibri"/>
          <w:b/>
          <w:i w:val="0"/>
          <w:color w:val="09A0B3"/>
          <w:sz w:val="18"/>
        </w:rPr>
        <w:t>ENTERPRISE DATA GOVERNANCE</w:t>
      </w:r>
    </w:p>
    <w:p>
      <w:pPr>
        <w:spacing w:after="120"/>
      </w:pPr>
      <w:r>
        <w:rPr>
          <w:rFonts w:ascii="Calibri" w:hAnsi="Calibri"/>
          <w:b/>
          <w:i w:val="0"/>
          <w:color w:val="173F48"/>
          <w:sz w:val="56"/>
        </w:rPr>
        <w:t>Enterprise Data Processing Addendum</w:t>
      </w:r>
    </w:p>
    <w:p>
      <w:pPr>
        <w:spacing w:after="360"/>
      </w:pPr>
      <w:r>
        <w:rPr>
          <w:rFonts w:ascii="Calibri" w:hAnsi="Calibri"/>
          <w:b w:val="0"/>
          <w:i w:val="0"/>
          <w:color w:val="5F7A81"/>
          <w:sz w:val="27"/>
        </w:rPr>
        <w:t>A controller–processor framework for governed stakeholder intelligence, multilingual AI processing and enterprise deployment.</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4680"/>
        <w:gridCol w:w="4680"/>
      </w:tblGrid>
      <w:tr>
        <w:tc>
          <w:tcPr>
            <w:tcW w:type="dxa" w:w="4680"/>
            <w:tcMar>
              <w:top w:w="100" w:type="dxa"/>
              <w:start w:w="140" w:type="dxa"/>
              <w:bottom w:w="100" w:type="dxa"/>
              <w:end w:w="140" w:type="dxa"/>
            </w:tcMar>
            <w:vAlign w:val="center"/>
          </w:tcPr>
          <w:p>
            <w:pPr>
              <w:spacing w:after="0"/>
            </w:pPr>
            <w:r>
              <w:rPr>
                <w:rFonts w:ascii="Calibri" w:hAnsi="Calibri"/>
                <w:b/>
                <w:i w:val="0"/>
                <w:color w:val="09A0B3"/>
                <w:sz w:val="17"/>
              </w:rPr>
              <w:t>DOCUMENT</w:t>
              <w:br/>
            </w:r>
            <w:r>
              <w:rPr>
                <w:rFonts w:ascii="Calibri" w:hAnsi="Calibri"/>
                <w:b/>
                <w:i w:val="0"/>
                <w:color w:val="173F48"/>
                <w:sz w:val="21"/>
              </w:rPr>
              <w:t>Enterprise Data Processing Addendum</w:t>
            </w:r>
          </w:p>
        </w:tc>
        <w:tc>
          <w:tcPr>
            <w:tcW w:type="dxa" w:w="4680"/>
            <w:tcMar>
              <w:top w:w="100" w:type="dxa"/>
              <w:start w:w="140" w:type="dxa"/>
              <w:bottom w:w="100" w:type="dxa"/>
              <w:end w:w="140" w:type="dxa"/>
            </w:tcMar>
            <w:vAlign w:val="center"/>
          </w:tcPr>
          <w:p>
            <w:pPr>
              <w:spacing w:after="0"/>
            </w:pPr>
            <w:r>
              <w:rPr>
                <w:rFonts w:ascii="Calibri" w:hAnsi="Calibri"/>
                <w:b/>
                <w:i w:val="0"/>
                <w:color w:val="09A0B3"/>
                <w:sz w:val="17"/>
              </w:rPr>
              <w:t>VERSION</w:t>
              <w:br/>
            </w:r>
            <w:r>
              <w:rPr>
                <w:rFonts w:ascii="Calibri" w:hAnsi="Calibri"/>
                <w:b/>
                <w:i w:val="0"/>
                <w:color w:val="173F48"/>
                <w:sz w:val="21"/>
              </w:rPr>
              <w:t>2.0</w:t>
            </w:r>
          </w:p>
        </w:tc>
      </w:tr>
      <w:tr>
        <w:tc>
          <w:tcPr>
            <w:tcW w:type="dxa" w:w="4680"/>
            <w:tcMar>
              <w:top w:w="100" w:type="dxa"/>
              <w:start w:w="140" w:type="dxa"/>
              <w:bottom w:w="100" w:type="dxa"/>
              <w:end w:w="140" w:type="dxa"/>
            </w:tcMar>
            <w:vAlign w:val="center"/>
          </w:tcPr>
          <w:p>
            <w:pPr>
              <w:spacing w:after="0"/>
            </w:pPr>
            <w:r>
              <w:rPr>
                <w:rFonts w:ascii="Calibri" w:hAnsi="Calibri"/>
                <w:b/>
                <w:i w:val="0"/>
                <w:color w:val="09A0B3"/>
                <w:sz w:val="17"/>
              </w:rPr>
              <w:t>EFFECTIVE</w:t>
              <w:br/>
            </w:r>
            <w:r>
              <w:rPr>
                <w:rFonts w:ascii="Calibri" w:hAnsi="Calibri"/>
                <w:b/>
                <w:i w:val="0"/>
                <w:color w:val="173F48"/>
                <w:sz w:val="21"/>
              </w:rPr>
              <w:t>23 August 2026</w:t>
            </w:r>
          </w:p>
        </w:tc>
        <w:tc>
          <w:tcPr>
            <w:tcW w:type="dxa" w:w="4680"/>
            <w:tcMar>
              <w:top w:w="100" w:type="dxa"/>
              <w:start w:w="140" w:type="dxa"/>
              <w:bottom w:w="100" w:type="dxa"/>
              <w:end w:w="140" w:type="dxa"/>
            </w:tcMar>
            <w:vAlign w:val="center"/>
          </w:tcPr>
          <w:p>
            <w:pPr>
              <w:spacing w:after="0"/>
            </w:pPr>
            <w:r>
              <w:rPr>
                <w:rFonts w:ascii="Calibri" w:hAnsi="Calibri"/>
                <w:b/>
                <w:i w:val="0"/>
                <w:color w:val="09A0B3"/>
                <w:sz w:val="17"/>
              </w:rPr>
              <w:t>STATUS</w:t>
              <w:br/>
            </w:r>
            <w:r>
              <w:rPr>
                <w:rFonts w:ascii="Calibri" w:hAnsi="Calibri"/>
                <w:b/>
                <w:i w:val="0"/>
                <w:color w:val="173F48"/>
                <w:sz w:val="21"/>
              </w:rPr>
              <w:t>Enterprise template</w:t>
            </w:r>
          </w:p>
        </w:tc>
      </w:tr>
      <w:tr>
        <w:tc>
          <w:tcPr>
            <w:tcW w:type="dxa" w:w="4680"/>
            <w:tcMar>
              <w:top w:w="100" w:type="dxa"/>
              <w:start w:w="140" w:type="dxa"/>
              <w:bottom w:w="100" w:type="dxa"/>
              <w:end w:w="140" w:type="dxa"/>
            </w:tcMar>
            <w:vAlign w:val="center"/>
          </w:tcPr>
          <w:p>
            <w:pPr>
              <w:spacing w:after="0"/>
            </w:pPr>
            <w:r>
              <w:rPr>
                <w:rFonts w:ascii="Calibri" w:hAnsi="Calibri"/>
                <w:b/>
                <w:i w:val="0"/>
                <w:color w:val="09A0B3"/>
                <w:sz w:val="17"/>
              </w:rPr>
              <w:t>PROCESSOR</w:t>
              <w:br/>
            </w:r>
            <w:r>
              <w:rPr>
                <w:rFonts w:ascii="Calibri" w:hAnsi="Calibri"/>
                <w:b/>
                <w:i w:val="0"/>
                <w:color w:val="173F48"/>
                <w:sz w:val="21"/>
              </w:rPr>
              <w:t>Aries AI contracting entity</w:t>
            </w:r>
          </w:p>
        </w:tc>
        <w:tc>
          <w:tcPr>
            <w:tcW w:type="dxa" w:w="4680"/>
            <w:tcMar>
              <w:top w:w="100" w:type="dxa"/>
              <w:start w:w="140" w:type="dxa"/>
              <w:bottom w:w="100" w:type="dxa"/>
              <w:end w:w="140" w:type="dxa"/>
            </w:tcMar>
            <w:vAlign w:val="center"/>
          </w:tcPr>
          <w:p>
            <w:pPr>
              <w:spacing w:after="0"/>
            </w:pPr>
            <w:r>
              <w:rPr>
                <w:rFonts w:ascii="Calibri" w:hAnsi="Calibri"/>
                <w:b/>
                <w:i w:val="0"/>
                <w:color w:val="09A0B3"/>
                <w:sz w:val="17"/>
              </w:rPr>
              <w:t>CONTACT</w:t>
              <w:br/>
            </w:r>
            <w:r>
              <w:rPr>
                <w:rFonts w:ascii="Calibri" w:hAnsi="Calibri"/>
                <w:b/>
                <w:i w:val="0"/>
                <w:color w:val="173F48"/>
                <w:sz w:val="21"/>
              </w:rPr>
              <w:t>info@ariesai.ai · Attn: Data Protection</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100" w:type="dxa"/>
              <w:start w:w="140" w:type="dxa"/>
              <w:bottom w:w="100" w:type="dxa"/>
              <w:end w:w="140" w:type="dxa"/>
            </w:tcMar>
            <w:shd w:fill="EAF7F5"/>
          </w:tcPr>
          <w:p>
            <w:pPr>
              <w:spacing w:after="40"/>
            </w:pPr>
            <w:r>
              <w:rPr>
                <w:rFonts w:ascii="Calibri" w:hAnsi="Calibri"/>
                <w:b/>
                <w:i w:val="0"/>
                <w:color w:val="09A0B3"/>
                <w:sz w:val="18"/>
              </w:rPr>
              <w:t xml:space="preserve">CONTRACT STATUS  </w:t>
            </w:r>
            <w:r>
              <w:rPr>
                <w:rFonts w:ascii="Calibri" w:hAnsi="Calibri"/>
                <w:b w:val="0"/>
                <w:i w:val="0"/>
                <w:color w:val="173F48"/>
                <w:sz w:val="21"/>
              </w:rPr>
              <w:t>This document is an enterprise template. It becomes binding only when incorporated into an applicable Aries AI Order Form, Master Services Agreement or other written agreement accepted by the parties.</w:t>
            </w:r>
          </w:p>
        </w:tc>
      </w:tr>
    </w:tbl>
    <w:p>
      <w:pPr>
        <w:spacing w:after="0"/>
      </w:pPr>
    </w:p>
    <w:p>
      <w:pPr>
        <w:spacing w:before="240" w:after="0"/>
      </w:pPr>
      <w:r>
        <w:rPr>
          <w:rFonts w:ascii="Calibri" w:hAnsi="Calibri"/>
          <w:b w:val="0"/>
          <w:i/>
          <w:color w:val="5F7A81"/>
          <w:sz w:val="19"/>
        </w:rPr>
        <w:t>Prepared for enterprise procurement, privacy, security and legal review.</w:t>
      </w:r>
    </w:p>
    <w:p>
      <w:r>
        <w:br w:type="page"/>
      </w:r>
    </w:p>
    <w:p>
      <w:pPr>
        <w:pStyle w:val="Heading1"/>
      </w:pPr>
      <w:r>
        <w:t>Executive summary</w:t>
      </w:r>
    </w:p>
    <w:p>
      <w:r>
        <w:rPr>
          <w:rFonts w:ascii="Calibri" w:hAnsi="Calibri"/>
          <w:b w:val="0"/>
          <w:i w:val="0"/>
          <w:color w:val="2F4F57"/>
          <w:sz w:val="22"/>
        </w:rPr>
        <w:t>Aries Reach is designed to transform stakeholder feedback, voice and operational context into governed enterprise intelligence. This Data Processing Addendum (DPA) establishes the contractual framework under which Aries AI processes Customer Personal Data on behalf of an enterprise customer.</w:t>
      </w:r>
    </w:p>
    <w:p>
      <w:r>
        <w:rPr>
          <w:rFonts w:ascii="Calibri" w:hAnsi="Calibri"/>
          <w:b w:val="0"/>
          <w:i w:val="0"/>
          <w:color w:val="2F4F57"/>
          <w:sz w:val="22"/>
        </w:rPr>
        <w:t>The DPA reflects the controller–processor requirements of Article 28 of the EU General Data Protection Regulation (GDPR) and incorporates enterprise commitments covering documented instructions, confidentiality, security, subprocessors, international transfers, data-subject support, incident response, deletion and assurance.</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100" w:type="dxa"/>
              <w:start w:w="140" w:type="dxa"/>
              <w:bottom w:w="100" w:type="dxa"/>
              <w:end w:w="140" w:type="dxa"/>
            </w:tcMar>
            <w:shd w:fill="EAF7F5"/>
          </w:tcPr>
          <w:p>
            <w:pPr>
              <w:spacing w:after="40"/>
            </w:pPr>
            <w:r>
              <w:rPr>
                <w:rFonts w:ascii="Calibri" w:hAnsi="Calibri"/>
                <w:b/>
                <w:i w:val="0"/>
                <w:color w:val="09A0B3"/>
                <w:sz w:val="18"/>
              </w:rPr>
              <w:t xml:space="preserve">ENTERPRISE PRINCIPLE  </w:t>
            </w:r>
            <w:r>
              <w:rPr>
                <w:rFonts w:ascii="Calibri" w:hAnsi="Calibri"/>
                <w:b w:val="0"/>
                <w:i w:val="0"/>
                <w:color w:val="173F48"/>
                <w:sz w:val="21"/>
              </w:rPr>
              <w:t>Customer Personal Data remains governed by the Customer’s instructions, the agreed deployment boundary and the controls defined in the applicable Agreement and Order Form.</w:t>
            </w:r>
          </w:p>
        </w:tc>
      </w:tr>
    </w:tbl>
    <w:p>
      <w:pPr>
        <w:spacing w:after="0"/>
      </w:pPr>
    </w:p>
    <w:p>
      <w:pPr>
        <w:pStyle w:val="Heading1"/>
      </w:pPr>
      <w:r>
        <w:t>Agreement structure</w:t>
      </w:r>
    </w:p>
    <w:p>
      <w:pPr>
        <w:spacing w:after="160" w:line="280" w:lineRule="auto"/>
        <w:numPr>
          <w:ilvl w:val="0"/>
          <w:numId w:val="10"/>
        </w:numPr>
      </w:pPr>
      <w:r>
        <w:rPr>
          <w:rFonts w:ascii="Calibri" w:hAnsi="Calibri"/>
          <w:b w:val="0"/>
          <w:i w:val="0"/>
          <w:color w:val="2F4F57"/>
          <w:sz w:val="22"/>
        </w:rPr>
        <w:t>This DPA forms part of the agreement governing the Customer’s use of Aries Reach (the Agreement).</w:t>
      </w:r>
    </w:p>
    <w:p>
      <w:pPr>
        <w:spacing w:after="160" w:line="280" w:lineRule="auto"/>
        <w:numPr>
          <w:ilvl w:val="0"/>
          <w:numId w:val="10"/>
        </w:numPr>
      </w:pPr>
      <w:r>
        <w:rPr>
          <w:rFonts w:ascii="Calibri" w:hAnsi="Calibri"/>
          <w:b w:val="0"/>
          <w:i w:val="0"/>
          <w:color w:val="2F4F57"/>
          <w:sz w:val="22"/>
        </w:rPr>
        <w:t>Capitalized terms not defined in this DPA have the meaning given in the Agreement or applicable data protection law.</w:t>
      </w:r>
    </w:p>
    <w:p>
      <w:pPr>
        <w:spacing w:after="160" w:line="280" w:lineRule="auto"/>
        <w:numPr>
          <w:ilvl w:val="0"/>
          <w:numId w:val="10"/>
        </w:numPr>
      </w:pPr>
      <w:r>
        <w:rPr>
          <w:rFonts w:ascii="Calibri" w:hAnsi="Calibri"/>
          <w:b w:val="0"/>
          <w:i w:val="0"/>
          <w:color w:val="2F4F57"/>
          <w:sz w:val="22"/>
        </w:rPr>
        <w:t>If this DPA conflicts with the Agreement on the processing of Customer Personal Data, this DPA prevails for that subject matter. If applicable Standard Contractual Clauses conflict with this DPA, those clauses prevail to the extent of the conflict.</w:t>
      </w:r>
    </w:p>
    <w:p>
      <w:r>
        <w:br w:type="page"/>
      </w:r>
    </w:p>
    <w:p>
      <w:pPr>
        <w:pStyle w:val="Heading1"/>
      </w:pPr>
      <w:r>
        <w:t>Key definitions</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700"/>
        <w:gridCol w:w="6660"/>
      </w:tblGrid>
      <w:tr>
        <w:trPr>
          <w:tblHeader w:val="true"/>
        </w:trPr>
        <w:tc>
          <w:tcPr>
            <w:tcW w:type="dxa" w:w="2700"/>
            <w:tcMar>
              <w:top w:w="100" w:type="dxa"/>
              <w:start w:w="140" w:type="dxa"/>
              <w:bottom w:w="100" w:type="dxa"/>
              <w:end w:w="140" w:type="dxa"/>
            </w:tcMar>
            <w:shd w:fill="F2F4F7"/>
          </w:tcPr>
          <w:p>
            <w:pPr>
              <w:spacing w:after="0"/>
            </w:pPr>
            <w:r>
              <w:rPr>
                <w:rFonts w:ascii="Calibri" w:hAnsi="Calibri"/>
                <w:b/>
                <w:i w:val="0"/>
                <w:color w:val="173F48"/>
                <w:sz w:val="18"/>
              </w:rPr>
              <w:t>PROCESSING ELEMENT</w:t>
            </w:r>
          </w:p>
        </w:tc>
        <w:tc>
          <w:tcPr>
            <w:tcW w:type="dxa" w:w="6660"/>
            <w:tcMar>
              <w:top w:w="100" w:type="dxa"/>
              <w:start w:w="140" w:type="dxa"/>
              <w:bottom w:w="100" w:type="dxa"/>
              <w:end w:w="140" w:type="dxa"/>
            </w:tcMar>
            <w:shd w:fill="F2F4F7"/>
          </w:tcPr>
          <w:p>
            <w:pPr>
              <w:spacing w:after="0"/>
            </w:pPr>
            <w:r>
              <w:rPr>
                <w:rFonts w:ascii="Calibri" w:hAnsi="Calibri"/>
                <w:b/>
                <w:i w:val="0"/>
                <w:color w:val="173F48"/>
                <w:sz w:val="18"/>
              </w:rPr>
              <w:t>ENTERPRISE DESCRIPTION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Applicable Data Protection Law</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Laws and regulations governing the processing of Customer Personal Data under the Agreement, including the GDPR where applicable.</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Customer</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The enterprise customer identified in the applicable Order Form or Agreement and, where applicable, the controller or processor acting on behalf of another controller.</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Customer Personal Data</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Personal data submitted to, collected through or otherwise processed by Aries Reach on Customer’s behalf in connection with the Services.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Personal Data Breach</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A breach of security leading to accidental or unlawful destruction, loss, alteration, unauthorized disclosure of or access to Customer Personal Data.</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Processor</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The Aries AI contracting entity identified in the applicable Order Form, to the extent it processes Customer Personal Data on Customer’s behalf.</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Subprocessor</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A third party appointed by Aries AI to process Customer Personal Data in support of the Services.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Services</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The Aries Reach platform, related implementation, support, integrations and deployment services described in the Agreement or Order Form.</w:t>
            </w:r>
          </w:p>
        </w:tc>
      </w:tr>
    </w:tbl>
    <w:p>
      <w:r>
        <w:br w:type="page"/>
      </w:r>
    </w:p>
    <w:p>
      <w:pPr>
        <w:pStyle w:val="Heading1"/>
      </w:pPr>
      <w:r>
        <w:t>Core data-processing terms</w:t>
      </w:r>
    </w:p>
    <w:p>
      <w:pPr>
        <w:pStyle w:val="Heading2"/>
      </w:pPr>
      <w:r>
        <w:t>1. Scope, roles and duration</w:t>
      </w:r>
    </w:p>
    <w:p>
      <w:r>
        <w:rPr>
          <w:rFonts w:ascii="Calibri" w:hAnsi="Calibri"/>
          <w:b w:val="0"/>
          <w:i w:val="0"/>
          <w:color w:val="2F4F57"/>
          <w:sz w:val="22"/>
        </w:rPr>
        <w:t>This DPA applies when Aries AI processes Customer Personal Data on behalf of Customer in connection with the Services. Customer acts as controller, and Aries AI acts as processor, unless Customer itself acts as a processor for another controller; in that case, Aries AI acts as Customer’s subprocessor.</w:t>
      </w:r>
    </w:p>
    <w:p>
      <w:r>
        <w:rPr>
          <w:rFonts w:ascii="Calibri" w:hAnsi="Calibri"/>
          <w:b w:val="0"/>
          <w:i w:val="0"/>
          <w:color w:val="2F4F57"/>
          <w:sz w:val="22"/>
        </w:rPr>
        <w:t>The processing continues for the term of the Agreement and any limited period required to return, export or securely delete Customer Personal Data in accordance with the Agreement, this DPA and applicable law.</w:t>
      </w:r>
    </w:p>
    <w:p>
      <w:pPr>
        <w:pStyle w:val="Heading2"/>
      </w:pPr>
      <w:r>
        <w:t>2. Customer instructions</w:t>
      </w:r>
    </w:p>
    <w:p>
      <w:r>
        <w:rPr>
          <w:rFonts w:ascii="Calibri" w:hAnsi="Calibri"/>
          <w:b w:val="0"/>
          <w:i w:val="0"/>
          <w:color w:val="2F4F57"/>
          <w:sz w:val="22"/>
        </w:rPr>
        <w:t>Aries AI will process Customer Personal Data only on documented instructions from Customer, including instructions expressed through the Agreement, Order Form, platform configuration, authorized support requests and lawful use of the Services.</w:t>
      </w:r>
    </w:p>
    <w:p>
      <w:r>
        <w:rPr>
          <w:rFonts w:ascii="Calibri" w:hAnsi="Calibri"/>
          <w:b w:val="0"/>
          <w:i w:val="0"/>
          <w:color w:val="2F4F57"/>
          <w:sz w:val="22"/>
        </w:rPr>
        <w:t>Aries AI will promptly inform Customer if, in its reasonable opinion, an instruction infringes Applicable Data Protection Law, unless prohibited from doing so. Customer is responsible for the lawfulness, accuracy and scope of its instructions, the data it provides and the notices, consents or other lawful bases required for its use of the Services.</w:t>
      </w:r>
    </w:p>
    <w:p>
      <w:pPr>
        <w:pStyle w:val="Heading2"/>
      </w:pPr>
      <w:r>
        <w:t>3. Purpose limitation and data minimization</w:t>
      </w:r>
    </w:p>
    <w:p>
      <w:r>
        <w:rPr>
          <w:rFonts w:ascii="Calibri" w:hAnsi="Calibri"/>
          <w:b w:val="0"/>
          <w:i w:val="0"/>
          <w:color w:val="2F4F57"/>
          <w:sz w:val="22"/>
        </w:rPr>
        <w:t>Aries AI will process Customer Personal Data only to provide, secure, support and improve the contracted Services; maintain service integrity; prevent misuse; and satisfy legal obligations. Aries AI will not sell Customer Personal Data or use it for unrelated advertising.</w:t>
      </w:r>
    </w:p>
    <w:p>
      <w:r>
        <w:rPr>
          <w:rFonts w:ascii="Calibri" w:hAnsi="Calibri"/>
          <w:b w:val="0"/>
          <w:i w:val="0"/>
          <w:color w:val="2F4F57"/>
          <w:sz w:val="22"/>
        </w:rPr>
        <w:t>The parties will configure data fields, access, retention, integrations and deployment boundaries to limit processing to what is necessary for the agreed enterprise use case.</w:t>
      </w:r>
    </w:p>
    <w:p>
      <w:pPr>
        <w:pStyle w:val="Heading2"/>
      </w:pPr>
      <w:r>
        <w:t>4. Confidentiality and personnel</w:t>
      </w:r>
    </w:p>
    <w:p>
      <w:r>
        <w:rPr>
          <w:rFonts w:ascii="Calibri" w:hAnsi="Calibri"/>
          <w:b w:val="0"/>
          <w:i w:val="0"/>
          <w:color w:val="2F4F57"/>
          <w:sz w:val="22"/>
        </w:rPr>
        <w:t>Aries AI will ensure that personnel authorized to process Customer Personal Data are subject to appropriate confidentiality obligations and receive security and privacy guidance relevant to their roles.</w:t>
      </w:r>
    </w:p>
    <w:p>
      <w:r>
        <w:rPr>
          <w:rFonts w:ascii="Calibri" w:hAnsi="Calibri"/>
          <w:b w:val="0"/>
          <w:i w:val="0"/>
          <w:color w:val="2F4F57"/>
          <w:sz w:val="22"/>
        </w:rPr>
        <w:t>Access will be limited according to job responsibility and the principle of least privilege, and will be reviewed and revoked when no longer required.</w:t>
      </w:r>
    </w:p>
    <w:p>
      <w:pPr>
        <w:pStyle w:val="Heading2"/>
      </w:pPr>
      <w:r>
        <w:t>5. Security of processing</w:t>
      </w:r>
    </w:p>
    <w:p>
      <w:r>
        <w:rPr>
          <w:rFonts w:ascii="Calibri" w:hAnsi="Calibri"/>
          <w:b w:val="0"/>
          <w:i w:val="0"/>
          <w:color w:val="2F4F57"/>
          <w:sz w:val="22"/>
        </w:rPr>
        <w:t>Aries AI will maintain technical and organizational measures designed to protect Customer Personal Data against accidental or unlawful destruction, loss, alteration, unauthorized disclosure or access. Measures will be appropriate to the nature of the data, processing risks and agreed deployment model.</w:t>
      </w:r>
    </w:p>
    <w:p>
      <w:r>
        <w:rPr>
          <w:rFonts w:ascii="Calibri" w:hAnsi="Calibri"/>
          <w:b w:val="0"/>
          <w:i w:val="0"/>
          <w:color w:val="2F4F57"/>
          <w:sz w:val="22"/>
        </w:rPr>
        <w:t>The baseline control domains are described in Schedule 2. Deployment-specific commitments, including cloud, private-cloud, on-premise or hybrid boundaries, will be documented in the Order Form, solution design or security schedule.</w:t>
      </w:r>
    </w:p>
    <w:p>
      <w:pPr>
        <w:pStyle w:val="Heading2"/>
      </w:pPr>
      <w:r>
        <w:t>6. Subprocessors</w:t>
      </w:r>
    </w:p>
    <w:p>
      <w:r>
        <w:rPr>
          <w:rFonts w:ascii="Calibri" w:hAnsi="Calibri"/>
          <w:b w:val="0"/>
          <w:i w:val="0"/>
          <w:color w:val="2F4F57"/>
          <w:sz w:val="22"/>
        </w:rPr>
        <w:t>Customer provides general written authorization for Aries AI to appoint Subprocessors necessary to deliver the Services, subject to the safeguards in this clause. Aries AI will remain responsible for each Subprocessor’s performance of its data-protection obligations to the extent required by Applicable Data Protection Law.</w:t>
      </w:r>
    </w:p>
    <w:p>
      <w:pPr>
        <w:spacing w:after="160" w:line="280" w:lineRule="auto"/>
        <w:numPr>
          <w:ilvl w:val="0"/>
          <w:numId w:val="10"/>
        </w:numPr>
      </w:pPr>
      <w:r>
        <w:rPr>
          <w:rFonts w:ascii="Calibri" w:hAnsi="Calibri"/>
          <w:b w:val="0"/>
          <w:i w:val="0"/>
          <w:color w:val="2F4F57"/>
          <w:sz w:val="22"/>
        </w:rPr>
        <w:t>Aries AI will impose written data-protection obligations on each Subprocessor that are no less protective, in relevant substance, than those applicable to Aries AI under this DPA.</w:t>
      </w:r>
    </w:p>
    <w:p>
      <w:pPr>
        <w:spacing w:after="160" w:line="280" w:lineRule="auto"/>
        <w:numPr>
          <w:ilvl w:val="0"/>
          <w:numId w:val="10"/>
        </w:numPr>
      </w:pPr>
      <w:r>
        <w:rPr>
          <w:rFonts w:ascii="Calibri" w:hAnsi="Calibri"/>
          <w:b w:val="0"/>
          <w:i w:val="0"/>
          <w:color w:val="2F4F57"/>
          <w:sz w:val="22"/>
        </w:rPr>
        <w:t>A current Subprocessor register will be made available during contracting or on request. Where required, Aries AI will provide advance notice of a material new Subprocessor and a reasonable opportunity for Customer to raise a documented data-protection objection.</w:t>
      </w:r>
    </w:p>
    <w:p>
      <w:pPr>
        <w:spacing w:after="160" w:line="280" w:lineRule="auto"/>
        <w:numPr>
          <w:ilvl w:val="0"/>
          <w:numId w:val="10"/>
        </w:numPr>
      </w:pPr>
      <w:r>
        <w:rPr>
          <w:rFonts w:ascii="Calibri" w:hAnsi="Calibri"/>
          <w:b w:val="0"/>
          <w:i w:val="0"/>
          <w:color w:val="2F4F57"/>
          <w:sz w:val="22"/>
        </w:rPr>
        <w:t>The parties will work in good faith to resolve a valid objection, including through a commercially reasonable configuration change or alternative service approach where available.</w:t>
      </w:r>
    </w:p>
    <w:p>
      <w:pPr>
        <w:pStyle w:val="Heading2"/>
      </w:pPr>
      <w:r>
        <w:t>7. International data transfers</w:t>
      </w:r>
    </w:p>
    <w:p>
      <w:r>
        <w:rPr>
          <w:rFonts w:ascii="Calibri" w:hAnsi="Calibri"/>
          <w:b w:val="0"/>
          <w:i w:val="0"/>
          <w:color w:val="2F4F57"/>
          <w:sz w:val="22"/>
        </w:rPr>
        <w:t>Aries AI will not transfer Customer Personal Data across national borders except as permitted by the Agreement, Customer’s documented instructions and Applicable Data Protection Law.</w:t>
      </w:r>
    </w:p>
    <w:p>
      <w:r>
        <w:rPr>
          <w:rFonts w:ascii="Calibri" w:hAnsi="Calibri"/>
          <w:b w:val="0"/>
          <w:i w:val="0"/>
          <w:color w:val="2F4F57"/>
          <w:sz w:val="22"/>
        </w:rPr>
        <w:t>Where a restricted transfer requires additional safeguards, the parties will use an applicable lawful transfer mechanism, which may include an adequacy decision, the European Commission’s Standard Contractual Clauses, the UK International Data Transfer Addendum or another legally recognized mechanism. The parties will complete any required annexes and cooperate on transfer impact assessments where applicable.</w:t>
      </w:r>
    </w:p>
    <w:p>
      <w:r>
        <w:br w:type="page"/>
      </w:r>
    </w:p>
    <w:p>
      <w:pPr>
        <w:pStyle w:val="Heading2"/>
      </w:pPr>
      <w:r>
        <w:t>8. Data-subject rights</w:t>
      </w:r>
    </w:p>
    <w:p>
      <w:r>
        <w:rPr>
          <w:rFonts w:ascii="Calibri" w:hAnsi="Calibri"/>
          <w:b w:val="0"/>
          <w:i w:val="0"/>
          <w:color w:val="2F4F57"/>
          <w:sz w:val="22"/>
        </w:rPr>
        <w:t>Taking into account the nature of the processing, Aries AI will provide reasonable assistance to Customer through appropriate technical and organizational measures so Customer can respond to requests to access, correct, delete, restrict, object to or port Customer Personal Data, as required by Applicable Data Protection Law.</w:t>
      </w:r>
    </w:p>
    <w:p>
      <w:r>
        <w:rPr>
          <w:rFonts w:ascii="Calibri" w:hAnsi="Calibri"/>
          <w:b w:val="0"/>
          <w:i w:val="0"/>
          <w:color w:val="2F4F57"/>
          <w:sz w:val="22"/>
        </w:rPr>
        <w:t>If Aries AI receives a request directly from a data subject relating to Customer Personal Data, it will not independently respond except where legally required or authorized by Customer, and will route the request to Customer where reasonably identifiable.</w:t>
      </w:r>
    </w:p>
    <w:p>
      <w:pPr>
        <w:pStyle w:val="Heading2"/>
      </w:pPr>
      <w:r>
        <w:t>9. Personal Data Breach</w:t>
      </w:r>
    </w:p>
    <w:p>
      <w:r>
        <w:rPr>
          <w:rFonts w:ascii="Calibri" w:hAnsi="Calibri"/>
          <w:b w:val="0"/>
          <w:i w:val="0"/>
          <w:color w:val="2F4F57"/>
          <w:sz w:val="22"/>
        </w:rPr>
        <w:t>Aries AI will notify Customer without undue delay after confirming a Personal Data Breach affecting Customer Personal Data and will provide information reasonably available to support Customer’s legal assessment and notification obligations.</w:t>
      </w:r>
    </w:p>
    <w:p>
      <w:pPr>
        <w:spacing w:after="160" w:line="280" w:lineRule="auto"/>
        <w:numPr>
          <w:ilvl w:val="0"/>
          <w:numId w:val="10"/>
        </w:numPr>
      </w:pPr>
      <w:r>
        <w:rPr>
          <w:rFonts w:ascii="Calibri" w:hAnsi="Calibri"/>
          <w:b w:val="0"/>
          <w:i w:val="0"/>
          <w:color w:val="2F4F57"/>
          <w:sz w:val="22"/>
        </w:rPr>
        <w:t>The nature of the incident and, where reasonably possible, affected data and data-subject categories.</w:t>
      </w:r>
    </w:p>
    <w:p>
      <w:pPr>
        <w:spacing w:after="160" w:line="280" w:lineRule="auto"/>
        <w:numPr>
          <w:ilvl w:val="0"/>
          <w:numId w:val="10"/>
        </w:numPr>
      </w:pPr>
      <w:r>
        <w:rPr>
          <w:rFonts w:ascii="Calibri" w:hAnsi="Calibri"/>
          <w:b w:val="0"/>
          <w:i w:val="0"/>
          <w:color w:val="2F4F57"/>
          <w:sz w:val="22"/>
        </w:rPr>
        <w:t>Known or reasonably anticipated consequences.</w:t>
      </w:r>
    </w:p>
    <w:p>
      <w:pPr>
        <w:spacing w:after="160" w:line="280" w:lineRule="auto"/>
        <w:numPr>
          <w:ilvl w:val="0"/>
          <w:numId w:val="10"/>
        </w:numPr>
      </w:pPr>
      <w:r>
        <w:rPr>
          <w:rFonts w:ascii="Calibri" w:hAnsi="Calibri"/>
          <w:b w:val="0"/>
          <w:i w:val="0"/>
          <w:color w:val="2F4F57"/>
          <w:sz w:val="22"/>
        </w:rPr>
        <w:t>Containment, remediation and risk-reduction measures taken or planned.</w:t>
      </w:r>
    </w:p>
    <w:p>
      <w:pPr>
        <w:spacing w:after="160" w:line="280" w:lineRule="auto"/>
        <w:numPr>
          <w:ilvl w:val="0"/>
          <w:numId w:val="10"/>
        </w:numPr>
      </w:pPr>
      <w:r>
        <w:rPr>
          <w:rFonts w:ascii="Calibri" w:hAnsi="Calibri"/>
          <w:b w:val="0"/>
          <w:i w:val="0"/>
          <w:color w:val="2F4F57"/>
          <w:sz w:val="22"/>
        </w:rPr>
        <w:t>A contact point for coordinated incident handling.</w:t>
      </w:r>
    </w:p>
    <w:p>
      <w:pPr>
        <w:pStyle w:val="Heading2"/>
      </w:pPr>
      <w:r>
        <w:t>10. DPIAs and regulatory consultation</w:t>
      </w:r>
    </w:p>
    <w:p>
      <w:r>
        <w:rPr>
          <w:rFonts w:ascii="Calibri" w:hAnsi="Calibri"/>
          <w:b w:val="0"/>
          <w:i w:val="0"/>
          <w:color w:val="2F4F57"/>
          <w:sz w:val="22"/>
        </w:rPr>
        <w:t>Taking into account the nature of the processing and information available to Aries AI, Aries AI will provide reasonable assistance with data-protection impact assessments and prior consultation with a competent supervisory authority where Customer reasonably determines that such assistance is required for its use of the Services.</w:t>
      </w:r>
    </w:p>
    <w:p>
      <w:pPr>
        <w:pStyle w:val="Heading2"/>
      </w:pPr>
      <w:r>
        <w:t>11. Return, export and deletion</w:t>
      </w:r>
    </w:p>
    <w:p>
      <w:r>
        <w:rPr>
          <w:rFonts w:ascii="Calibri" w:hAnsi="Calibri"/>
          <w:b w:val="0"/>
          <w:i w:val="0"/>
          <w:color w:val="2F4F57"/>
          <w:sz w:val="22"/>
        </w:rPr>
        <w:t>During the Agreement, Customer may access or export Customer Personal Data using available product functionality or an agreed enterprise export process. Upon termination or expiry, Aries AI will return or delete Customer Personal Data in accordance with Customer’s documented choice and the Agreement, unless retention is required by law.</w:t>
      </w:r>
    </w:p>
    <w:p>
      <w:r>
        <w:rPr>
          <w:rFonts w:ascii="Calibri" w:hAnsi="Calibri"/>
          <w:b w:val="0"/>
          <w:i w:val="0"/>
          <w:color w:val="2F4F57"/>
          <w:sz w:val="22"/>
        </w:rPr>
        <w:t>Residual data in encrypted backups may remain until overwritten through the normal backup lifecycle, provided it remains protected, is not restored for ordinary business purposes and is deleted or rendered inaccessible in accordance with the applicable retention schedule.</w:t>
      </w:r>
    </w:p>
    <w:p>
      <w:pPr>
        <w:pStyle w:val="Heading2"/>
      </w:pPr>
      <w:r>
        <w:t>12. Information and audit rights</w:t>
      </w:r>
    </w:p>
    <w:p>
      <w:r>
        <w:rPr>
          <w:rFonts w:ascii="Calibri" w:hAnsi="Calibri"/>
          <w:b w:val="0"/>
          <w:i w:val="0"/>
          <w:color w:val="2F4F57"/>
          <w:sz w:val="22"/>
        </w:rPr>
        <w:t>Aries AI will make available information reasonably necessary to demonstrate compliance with this DPA. Assurance may include security documentation, control descriptions, independent reports or certifications where available, and responses to reasonable security and privacy questionnaires.</w:t>
      </w:r>
    </w:p>
    <w:p>
      <w:r>
        <w:rPr>
          <w:rFonts w:ascii="Calibri" w:hAnsi="Calibri"/>
          <w:b w:val="0"/>
          <w:i w:val="0"/>
          <w:color w:val="2F4F57"/>
          <w:sz w:val="22"/>
        </w:rPr>
        <w:t>If the supplied information is insufficient for a legal requirement, Customer may request an audit on reasonable prior notice, no more than once annually unless a confirmed incident or regulator requires otherwise. Audits must protect other customers, confidentiality and platform security, avoid unreasonable disruption and be performed by an independent qualified auditor subject to confidentiality obligations. Customer bears its audit costs unless the audit identifies a material breach by Aries AI.</w:t>
      </w:r>
    </w:p>
    <w:p>
      <w:pPr>
        <w:pStyle w:val="Heading2"/>
      </w:pPr>
      <w:r>
        <w:t>13. Government and law-enforcement requests</w:t>
      </w:r>
    </w:p>
    <w:p>
      <w:r>
        <w:rPr>
          <w:rFonts w:ascii="Calibri" w:hAnsi="Calibri"/>
          <w:b w:val="0"/>
          <w:i w:val="0"/>
          <w:color w:val="2F4F57"/>
          <w:sz w:val="22"/>
        </w:rPr>
        <w:t>Unless prohibited by law, Aries AI will notify Customer of a legally binding request for Customer Personal Data before disclosure. Aries AI will review the request for validity, disclose only the data legally required and, where appropriate and reasonably available, challenge disproportionate or unlawful requests.</w:t>
      </w:r>
    </w:p>
    <w:p>
      <w:pPr>
        <w:pStyle w:val="Heading2"/>
      </w:pPr>
      <w:r>
        <w:t>14. Records, cooperation and compliance</w:t>
      </w:r>
    </w:p>
    <w:p>
      <w:r>
        <w:rPr>
          <w:rFonts w:ascii="Calibri" w:hAnsi="Calibri"/>
          <w:b w:val="0"/>
          <w:i w:val="0"/>
          <w:color w:val="2F4F57"/>
          <w:sz w:val="22"/>
        </w:rPr>
        <w:t>Each party will maintain records and documentation required for its own obligations under Applicable Data Protection Law. The parties will cooperate in good faith on privacy and security inquiries connected to the Services, subject to confidentiality, legal privilege and reasonable cost controls.</w:t>
      </w:r>
    </w:p>
    <w:p>
      <w:pPr>
        <w:pStyle w:val="Heading2"/>
      </w:pPr>
      <w:r>
        <w:t>15. Liability, termination and governing terms</w:t>
      </w:r>
    </w:p>
    <w:p>
      <w:r>
        <w:rPr>
          <w:rFonts w:ascii="Calibri" w:hAnsi="Calibri"/>
          <w:b w:val="0"/>
          <w:i w:val="0"/>
          <w:color w:val="2F4F57"/>
          <w:sz w:val="22"/>
        </w:rPr>
        <w:t>The liability limitations, exclusions, governing law, dispute resolution and termination provisions in the Agreement apply to this DPA, except to the extent prohibited by Applicable Data Protection Law or modified by mandatory Standard Contractual Clauses.</w:t>
      </w:r>
    </w:p>
    <w:p>
      <w:r>
        <w:rPr>
          <w:rFonts w:ascii="Calibri" w:hAnsi="Calibri"/>
          <w:b w:val="0"/>
          <w:i w:val="0"/>
          <w:color w:val="2F4F57"/>
          <w:sz w:val="22"/>
        </w:rPr>
        <w:t>Obligations that by their nature should survive termination—including confidentiality, deletion, audit cooperation and transfer safeguards—will survive for as long as Aries AI retains Customer Personal Data.</w:t>
      </w:r>
    </w:p>
    <w:p>
      <w:r>
        <w:br w:type="page"/>
      </w:r>
    </w:p>
    <w:p>
      <w:pPr>
        <w:pStyle w:val="Heading1"/>
      </w:pPr>
      <w:r>
        <w:t>Schedule 1 — Details of processing</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700"/>
        <w:gridCol w:w="6660"/>
      </w:tblGrid>
      <w:tr>
        <w:trPr>
          <w:tblHeader w:val="true"/>
        </w:trPr>
        <w:tc>
          <w:tcPr>
            <w:tcW w:type="dxa" w:w="2700"/>
            <w:tcMar>
              <w:top w:w="100" w:type="dxa"/>
              <w:start w:w="140" w:type="dxa"/>
              <w:bottom w:w="100" w:type="dxa"/>
              <w:end w:w="140" w:type="dxa"/>
            </w:tcMar>
            <w:shd w:fill="F2F4F7"/>
          </w:tcPr>
          <w:p>
            <w:pPr>
              <w:spacing w:after="0"/>
            </w:pPr>
            <w:r>
              <w:rPr>
                <w:rFonts w:ascii="Calibri" w:hAnsi="Calibri"/>
                <w:b/>
                <w:i w:val="0"/>
                <w:color w:val="173F48"/>
                <w:sz w:val="18"/>
              </w:rPr>
              <w:t>PROCESSING ELEMENT</w:t>
            </w:r>
          </w:p>
        </w:tc>
        <w:tc>
          <w:tcPr>
            <w:tcW w:type="dxa" w:w="6660"/>
            <w:tcMar>
              <w:top w:w="100" w:type="dxa"/>
              <w:start w:w="140" w:type="dxa"/>
              <w:bottom w:w="100" w:type="dxa"/>
              <w:end w:w="140" w:type="dxa"/>
            </w:tcMar>
            <w:shd w:fill="F2F4F7"/>
          </w:tcPr>
          <w:p>
            <w:pPr>
              <w:spacing w:after="0"/>
            </w:pPr>
            <w:r>
              <w:rPr>
                <w:rFonts w:ascii="Calibri" w:hAnsi="Calibri"/>
                <w:b/>
                <w:i w:val="0"/>
                <w:color w:val="173F48"/>
                <w:sz w:val="18"/>
              </w:rPr>
              <w:t>ENTERPRISE DESCRIPTION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Subject matter</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Provision of Aries Reach stakeholder-intelligence, feedback-collection, multilingual AI analysis, claims-governance, reporting, integration, implementation and support services.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Duration</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The Agreement term plus the period required for authorized export, return, deletion and legally required retention.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Nature of processing</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Collection, recording, organization, hosting, storage, retrieval, transcription, translation, analysis, classification, prioritization, routing, reporting, integration, support, security monitoring, export and deletion.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Business purpose</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Convert stakeholder voice and context into governed enterprise intelligence and accountable operational action according to Customer’s configuration and instructions.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Data subjects</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Customers and end users; employees and contractors; citizens or service users; patients or caregivers where configured; students; suppliers and partners; Customer administrators, agents and authorized users.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Personal-data categories</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Identity and contact details; account and role data; feedback text; voice or audio; language; sentiment, topic, urgency and other configured analysis; facility, journey and transaction context; case and resolution records; device, browser and network metadata; integration identifiers; support records; security and audit logs.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Sensitive data</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Only where Customer intentionally configures a use case that requires it and has established an appropriate lawful basis, notice, access model and deployment boundary. Customer should avoid unnecessary sensitive data and apply minimization controls.</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Frequency</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Continuous or event-driven, depending on Customer’s channels, integrations, usage and retention configuration.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Retention</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As configured or agreed in the Order Form, solution design or retention schedule, subject to legal requirements and the deletion terms in this DPA.</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Return and deletion</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Product export or agreed enterprise export during the term; secure deletion following termination or Customer instruction, subject to the backup lifecycle and mandatory legal retention.</w:t>
            </w:r>
          </w:p>
        </w:tc>
      </w:tr>
    </w:tbl>
    <w:p>
      <w:pPr>
        <w:pStyle w:val="Heading2"/>
      </w:pPr>
      <w:r>
        <w:t>Customer configuration responsibilities</w:t>
      </w:r>
    </w:p>
    <w:p>
      <w:pPr>
        <w:spacing w:after="160" w:line="280" w:lineRule="auto"/>
        <w:numPr>
          <w:ilvl w:val="0"/>
          <w:numId w:val="10"/>
        </w:numPr>
      </w:pPr>
      <w:r>
        <w:rPr>
          <w:rFonts w:ascii="Calibri" w:hAnsi="Calibri"/>
          <w:b w:val="0"/>
          <w:i w:val="0"/>
          <w:color w:val="2F4F57"/>
          <w:sz w:val="22"/>
        </w:rPr>
        <w:t>Define the lawful purpose, data-subject notices and appropriate legal basis for each Reach use case.</w:t>
      </w:r>
    </w:p>
    <w:p>
      <w:pPr>
        <w:spacing w:after="160" w:line="280" w:lineRule="auto"/>
        <w:numPr>
          <w:ilvl w:val="0"/>
          <w:numId w:val="10"/>
        </w:numPr>
      </w:pPr>
      <w:r>
        <w:rPr>
          <w:rFonts w:ascii="Calibri" w:hAnsi="Calibri"/>
          <w:b w:val="0"/>
          <w:i w:val="0"/>
          <w:color w:val="2F4F57"/>
          <w:sz w:val="22"/>
        </w:rPr>
        <w:t>Configure channels, required fields, identity collection, access roles, retention and integrations according to necessity and risk.</w:t>
      </w:r>
    </w:p>
    <w:p>
      <w:pPr>
        <w:spacing w:after="160" w:line="280" w:lineRule="auto"/>
        <w:numPr>
          <w:ilvl w:val="0"/>
          <w:numId w:val="10"/>
        </w:numPr>
      </w:pPr>
      <w:r>
        <w:rPr>
          <w:rFonts w:ascii="Calibri" w:hAnsi="Calibri"/>
          <w:b w:val="0"/>
          <w:i w:val="0"/>
          <w:color w:val="2F4F57"/>
          <w:sz w:val="22"/>
        </w:rPr>
        <w:t>Avoid collecting special-category, health, biometric, children’s or similarly sensitive data unless explicitly required, lawfully authorized and protected by an agreed deployment design.</w:t>
      </w:r>
    </w:p>
    <w:p>
      <w:pPr>
        <w:spacing w:after="160" w:line="280" w:lineRule="auto"/>
        <w:numPr>
          <w:ilvl w:val="0"/>
          <w:numId w:val="10"/>
        </w:numPr>
      </w:pPr>
      <w:r>
        <w:rPr>
          <w:rFonts w:ascii="Calibri" w:hAnsi="Calibri"/>
          <w:b w:val="0"/>
          <w:i w:val="0"/>
          <w:color w:val="2F4F57"/>
          <w:sz w:val="22"/>
        </w:rPr>
        <w:t>Ensure instructions do not require Aries AI to violate Applicable Data Protection Law.</w:t>
      </w:r>
    </w:p>
    <w:p>
      <w:pPr>
        <w:pStyle w:val="Heading1"/>
      </w:pPr>
      <w:r>
        <w:t>Schedule 2 — Technical and organizational measures</w:t>
      </w:r>
    </w:p>
    <w:p>
      <w:r>
        <w:rPr>
          <w:rFonts w:ascii="Calibri" w:hAnsi="Calibri"/>
          <w:b w:val="0"/>
          <w:i w:val="0"/>
          <w:color w:val="2F4F57"/>
          <w:sz w:val="22"/>
        </w:rPr>
        <w:t>The following control domains describe the baseline enterprise measures Aries AI will maintain as appropriate to the Services and agreed deployment model. Specific technologies, locations and responsibilities may differ across cloud, private-cloud, on-premise and hybrid deployments and will be documented during solution design.</w:t>
      </w:r>
    </w:p>
    <w:p>
      <w:pPr>
        <w:pStyle w:val="Heading2"/>
      </w:pPr>
      <w:r>
        <w:t>Identity and access governance</w:t>
      </w:r>
    </w:p>
    <w:p>
      <w:r>
        <w:rPr>
          <w:rFonts w:ascii="Calibri" w:hAnsi="Calibri"/>
          <w:b w:val="0"/>
          <w:i w:val="0"/>
          <w:color w:val="2F4F57"/>
          <w:sz w:val="22"/>
        </w:rPr>
        <w:t>Access to Customer Personal Data is restricted to authorized users and personnel.</w:t>
      </w:r>
    </w:p>
    <w:p>
      <w:pPr>
        <w:spacing w:after="160" w:line="280" w:lineRule="auto"/>
        <w:numPr>
          <w:ilvl w:val="0"/>
          <w:numId w:val="10"/>
        </w:numPr>
      </w:pPr>
      <w:r>
        <w:rPr>
          <w:rFonts w:ascii="Calibri" w:hAnsi="Calibri"/>
          <w:b w:val="0"/>
          <w:i w:val="0"/>
          <w:color w:val="2F4F57"/>
          <w:sz w:val="22"/>
        </w:rPr>
        <w:t>Role-based access, least privilege and controlled administrative permissions.</w:t>
      </w:r>
    </w:p>
    <w:p>
      <w:pPr>
        <w:spacing w:after="160" w:line="280" w:lineRule="auto"/>
        <w:numPr>
          <w:ilvl w:val="0"/>
          <w:numId w:val="10"/>
        </w:numPr>
      </w:pPr>
      <w:r>
        <w:rPr>
          <w:rFonts w:ascii="Calibri" w:hAnsi="Calibri"/>
          <w:b w:val="0"/>
          <w:i w:val="0"/>
          <w:color w:val="2F4F57"/>
          <w:sz w:val="22"/>
        </w:rPr>
        <w:t>Authentication controls appropriate to the deployment, with enterprise identity integration where contracted.</w:t>
      </w:r>
    </w:p>
    <w:p>
      <w:pPr>
        <w:spacing w:after="160" w:line="280" w:lineRule="auto"/>
        <w:numPr>
          <w:ilvl w:val="0"/>
          <w:numId w:val="10"/>
        </w:numPr>
      </w:pPr>
      <w:r>
        <w:rPr>
          <w:rFonts w:ascii="Calibri" w:hAnsi="Calibri"/>
          <w:b w:val="0"/>
          <w:i w:val="0"/>
          <w:color w:val="2F4F57"/>
          <w:sz w:val="22"/>
        </w:rPr>
        <w:t>Access provisioning, review and revocation procedures.</w:t>
      </w:r>
    </w:p>
    <w:p>
      <w:pPr>
        <w:pStyle w:val="Heading2"/>
      </w:pPr>
      <w:r>
        <w:t>Encryption and secure communications</w:t>
      </w:r>
    </w:p>
    <w:p>
      <w:r>
        <w:rPr>
          <w:rFonts w:ascii="Calibri" w:hAnsi="Calibri"/>
          <w:b w:val="0"/>
          <w:i w:val="0"/>
          <w:color w:val="2F4F57"/>
          <w:sz w:val="22"/>
        </w:rPr>
        <w:t>Customer Personal Data is protected against unauthorized interception and disclosure.</w:t>
      </w:r>
    </w:p>
    <w:p>
      <w:pPr>
        <w:spacing w:after="160" w:line="280" w:lineRule="auto"/>
        <w:numPr>
          <w:ilvl w:val="0"/>
          <w:numId w:val="10"/>
        </w:numPr>
      </w:pPr>
      <w:r>
        <w:rPr>
          <w:rFonts w:ascii="Calibri" w:hAnsi="Calibri"/>
          <w:b w:val="0"/>
          <w:i w:val="0"/>
          <w:color w:val="2F4F57"/>
          <w:sz w:val="22"/>
        </w:rPr>
        <w:t>Encryption in transit using current industry-standard transport security.</w:t>
      </w:r>
    </w:p>
    <w:p>
      <w:pPr>
        <w:spacing w:after="160" w:line="280" w:lineRule="auto"/>
        <w:numPr>
          <w:ilvl w:val="0"/>
          <w:numId w:val="10"/>
        </w:numPr>
      </w:pPr>
      <w:r>
        <w:rPr>
          <w:rFonts w:ascii="Calibri" w:hAnsi="Calibri"/>
          <w:b w:val="0"/>
          <w:i w:val="0"/>
          <w:color w:val="2F4F57"/>
          <w:sz w:val="22"/>
        </w:rPr>
        <w:t>Encryption at rest where supported by the agreed architecture and responsibility model.</w:t>
      </w:r>
    </w:p>
    <w:p>
      <w:pPr>
        <w:spacing w:after="160" w:line="280" w:lineRule="auto"/>
        <w:numPr>
          <w:ilvl w:val="0"/>
          <w:numId w:val="10"/>
        </w:numPr>
      </w:pPr>
      <w:r>
        <w:rPr>
          <w:rFonts w:ascii="Calibri" w:hAnsi="Calibri"/>
          <w:b w:val="0"/>
          <w:i w:val="0"/>
          <w:color w:val="2F4F57"/>
          <w:sz w:val="22"/>
        </w:rPr>
        <w:t>Managed handling of secrets, keys and service credentials.</w:t>
      </w:r>
    </w:p>
    <w:p>
      <w:pPr>
        <w:pStyle w:val="Heading2"/>
      </w:pPr>
      <w:r>
        <w:t>Tenant, workload and deployment isolation</w:t>
      </w:r>
    </w:p>
    <w:p>
      <w:r>
        <w:rPr>
          <w:rFonts w:ascii="Calibri" w:hAnsi="Calibri"/>
          <w:b w:val="0"/>
          <w:i w:val="0"/>
          <w:color w:val="2F4F57"/>
          <w:sz w:val="22"/>
        </w:rPr>
        <w:t>Processing boundaries reflect the contracted deployment model.</w:t>
      </w:r>
    </w:p>
    <w:p>
      <w:pPr>
        <w:spacing w:after="160" w:line="280" w:lineRule="auto"/>
        <w:numPr>
          <w:ilvl w:val="0"/>
          <w:numId w:val="10"/>
        </w:numPr>
      </w:pPr>
      <w:r>
        <w:rPr>
          <w:rFonts w:ascii="Calibri" w:hAnsi="Calibri"/>
          <w:b w:val="0"/>
          <w:i w:val="0"/>
          <w:color w:val="2F4F57"/>
          <w:sz w:val="22"/>
        </w:rPr>
        <w:t>Logical tenant separation for managed services.</w:t>
      </w:r>
    </w:p>
    <w:p>
      <w:pPr>
        <w:spacing w:after="160" w:line="280" w:lineRule="auto"/>
        <w:numPr>
          <w:ilvl w:val="0"/>
          <w:numId w:val="10"/>
        </w:numPr>
      </w:pPr>
      <w:r>
        <w:rPr>
          <w:rFonts w:ascii="Calibri" w:hAnsi="Calibri"/>
          <w:b w:val="0"/>
          <w:i w:val="0"/>
          <w:color w:val="2F4F57"/>
          <w:sz w:val="22"/>
        </w:rPr>
        <w:t>Dedicated or customer-controlled boundaries for private-cloud, on-premise or hybrid deployments where contracted.</w:t>
      </w:r>
    </w:p>
    <w:p>
      <w:pPr>
        <w:spacing w:after="160" w:line="280" w:lineRule="auto"/>
        <w:numPr>
          <w:ilvl w:val="0"/>
          <w:numId w:val="10"/>
        </w:numPr>
      </w:pPr>
      <w:r>
        <w:rPr>
          <w:rFonts w:ascii="Calibri" w:hAnsi="Calibri"/>
          <w:b w:val="0"/>
          <w:i w:val="0"/>
          <w:color w:val="2F4F57"/>
          <w:sz w:val="22"/>
        </w:rPr>
        <w:t>Controlled data routing across approved integrations and regions.</w:t>
      </w:r>
    </w:p>
    <w:p>
      <w:pPr>
        <w:pStyle w:val="Heading2"/>
      </w:pPr>
      <w:r>
        <w:t>Logging, monitoring and traceability</w:t>
      </w:r>
    </w:p>
    <w:p>
      <w:r>
        <w:rPr>
          <w:rFonts w:ascii="Calibri" w:hAnsi="Calibri"/>
          <w:b w:val="0"/>
          <w:i w:val="0"/>
          <w:color w:val="2F4F57"/>
          <w:sz w:val="22"/>
        </w:rPr>
        <w:t>Security-relevant and administrative activity is recorded to support detection and accountability.</w:t>
      </w:r>
    </w:p>
    <w:p>
      <w:pPr>
        <w:spacing w:after="160" w:line="280" w:lineRule="auto"/>
        <w:numPr>
          <w:ilvl w:val="0"/>
          <w:numId w:val="10"/>
        </w:numPr>
      </w:pPr>
      <w:r>
        <w:rPr>
          <w:rFonts w:ascii="Calibri" w:hAnsi="Calibri"/>
          <w:b w:val="0"/>
          <w:i w:val="0"/>
          <w:color w:val="2F4F57"/>
          <w:sz w:val="22"/>
        </w:rPr>
        <w:t>Audit logging for relevant access, configuration and workflow events.</w:t>
      </w:r>
    </w:p>
    <w:p>
      <w:pPr>
        <w:spacing w:after="160" w:line="280" w:lineRule="auto"/>
        <w:numPr>
          <w:ilvl w:val="0"/>
          <w:numId w:val="10"/>
        </w:numPr>
      </w:pPr>
      <w:r>
        <w:rPr>
          <w:rFonts w:ascii="Calibri" w:hAnsi="Calibri"/>
          <w:b w:val="0"/>
          <w:i w:val="0"/>
          <w:color w:val="2F4F57"/>
          <w:sz w:val="22"/>
        </w:rPr>
        <w:t>Monitoring and alerting appropriate to the service boundary.</w:t>
      </w:r>
    </w:p>
    <w:p>
      <w:pPr>
        <w:spacing w:after="160" w:line="280" w:lineRule="auto"/>
        <w:numPr>
          <w:ilvl w:val="0"/>
          <w:numId w:val="10"/>
        </w:numPr>
      </w:pPr>
      <w:r>
        <w:rPr>
          <w:rFonts w:ascii="Calibri" w:hAnsi="Calibri"/>
          <w:b w:val="0"/>
          <w:i w:val="0"/>
          <w:color w:val="2F4F57"/>
          <w:sz w:val="22"/>
        </w:rPr>
        <w:t>Time-aligned records supporting investigation and governance review.</w:t>
      </w:r>
    </w:p>
    <w:p>
      <w:pPr>
        <w:pStyle w:val="Heading2"/>
      </w:pPr>
      <w:r>
        <w:t>Secure engineering and change management</w:t>
      </w:r>
    </w:p>
    <w:p>
      <w:r>
        <w:rPr>
          <w:rFonts w:ascii="Calibri" w:hAnsi="Calibri"/>
          <w:b w:val="0"/>
          <w:i w:val="0"/>
          <w:color w:val="2F4F57"/>
          <w:sz w:val="22"/>
        </w:rPr>
        <w:t>The Services are developed and changed through controlled engineering practices.</w:t>
      </w:r>
    </w:p>
    <w:p>
      <w:pPr>
        <w:spacing w:after="160" w:line="280" w:lineRule="auto"/>
        <w:numPr>
          <w:ilvl w:val="0"/>
          <w:numId w:val="10"/>
        </w:numPr>
      </w:pPr>
      <w:r>
        <w:rPr>
          <w:rFonts w:ascii="Calibri" w:hAnsi="Calibri"/>
          <w:b w:val="0"/>
          <w:i w:val="0"/>
          <w:color w:val="2F4F57"/>
          <w:sz w:val="22"/>
        </w:rPr>
        <w:t>Code review, testing and controlled release procedures.</w:t>
      </w:r>
    </w:p>
    <w:p>
      <w:pPr>
        <w:spacing w:after="160" w:line="280" w:lineRule="auto"/>
        <w:numPr>
          <w:ilvl w:val="0"/>
          <w:numId w:val="10"/>
        </w:numPr>
      </w:pPr>
      <w:r>
        <w:rPr>
          <w:rFonts w:ascii="Calibri" w:hAnsi="Calibri"/>
          <w:b w:val="0"/>
          <w:i w:val="0"/>
          <w:color w:val="2F4F57"/>
          <w:sz w:val="22"/>
        </w:rPr>
        <w:t>Dependency and vulnerability management proportionate to risk.</w:t>
      </w:r>
    </w:p>
    <w:p>
      <w:pPr>
        <w:spacing w:after="160" w:line="280" w:lineRule="auto"/>
        <w:numPr>
          <w:ilvl w:val="0"/>
          <w:numId w:val="10"/>
        </w:numPr>
      </w:pPr>
      <w:r>
        <w:rPr>
          <w:rFonts w:ascii="Calibri" w:hAnsi="Calibri"/>
          <w:b w:val="0"/>
          <w:i w:val="0"/>
          <w:color w:val="2F4F57"/>
          <w:sz w:val="22"/>
        </w:rPr>
        <w:t>Environment separation and restricted production access.</w:t>
      </w:r>
    </w:p>
    <w:p>
      <w:pPr>
        <w:pStyle w:val="Heading2"/>
      </w:pPr>
      <w:r>
        <w:t>Resilience, backup and recovery</w:t>
      </w:r>
    </w:p>
    <w:p>
      <w:r>
        <w:rPr>
          <w:rFonts w:ascii="Calibri" w:hAnsi="Calibri"/>
          <w:b w:val="0"/>
          <w:i w:val="0"/>
          <w:color w:val="2F4F57"/>
          <w:sz w:val="22"/>
        </w:rPr>
        <w:t>Measures support service continuity and recoverability according to the contracted architecture.</w:t>
      </w:r>
    </w:p>
    <w:p>
      <w:pPr>
        <w:spacing w:after="160" w:line="280" w:lineRule="auto"/>
        <w:numPr>
          <w:ilvl w:val="0"/>
          <w:numId w:val="10"/>
        </w:numPr>
      </w:pPr>
      <w:r>
        <w:rPr>
          <w:rFonts w:ascii="Calibri" w:hAnsi="Calibri"/>
          <w:b w:val="0"/>
          <w:i w:val="0"/>
          <w:color w:val="2F4F57"/>
          <w:sz w:val="22"/>
        </w:rPr>
        <w:t>Backup, recovery and continuity procedures appropriate to the deployment.</w:t>
      </w:r>
    </w:p>
    <w:p>
      <w:pPr>
        <w:spacing w:after="160" w:line="280" w:lineRule="auto"/>
        <w:numPr>
          <w:ilvl w:val="0"/>
          <w:numId w:val="10"/>
        </w:numPr>
      </w:pPr>
      <w:r>
        <w:rPr>
          <w:rFonts w:ascii="Calibri" w:hAnsi="Calibri"/>
          <w:b w:val="0"/>
          <w:i w:val="0"/>
          <w:color w:val="2F4F57"/>
          <w:sz w:val="22"/>
        </w:rPr>
        <w:t>Capacity and availability monitoring for managed service components.</w:t>
      </w:r>
    </w:p>
    <w:p>
      <w:pPr>
        <w:spacing w:after="160" w:line="280" w:lineRule="auto"/>
        <w:numPr>
          <w:ilvl w:val="0"/>
          <w:numId w:val="10"/>
        </w:numPr>
      </w:pPr>
      <w:r>
        <w:rPr>
          <w:rFonts w:ascii="Calibri" w:hAnsi="Calibri"/>
          <w:b w:val="0"/>
          <w:i w:val="0"/>
          <w:color w:val="2F4F57"/>
          <w:sz w:val="22"/>
        </w:rPr>
        <w:t>Periodic review or testing of relevant recovery procedures.</w:t>
      </w:r>
    </w:p>
    <w:p>
      <w:pPr>
        <w:pStyle w:val="Heading2"/>
      </w:pPr>
      <w:r>
        <w:t>Incident management</w:t>
      </w:r>
    </w:p>
    <w:p>
      <w:r>
        <w:rPr>
          <w:rFonts w:ascii="Calibri" w:hAnsi="Calibri"/>
          <w:b w:val="0"/>
          <w:i w:val="0"/>
          <w:color w:val="2F4F57"/>
          <w:sz w:val="22"/>
        </w:rPr>
        <w:t>Aries AI maintains a coordinated process to identify, contain, investigate and remediate security incidents.</w:t>
      </w:r>
    </w:p>
    <w:p>
      <w:pPr>
        <w:spacing w:after="160" w:line="280" w:lineRule="auto"/>
        <w:numPr>
          <w:ilvl w:val="0"/>
          <w:numId w:val="10"/>
        </w:numPr>
      </w:pPr>
      <w:r>
        <w:rPr>
          <w:rFonts w:ascii="Calibri" w:hAnsi="Calibri"/>
          <w:b w:val="0"/>
          <w:i w:val="0"/>
          <w:color w:val="2F4F57"/>
          <w:sz w:val="22"/>
        </w:rPr>
        <w:t>Defined incident ownership, escalation and evidence preservation.</w:t>
      </w:r>
    </w:p>
    <w:p>
      <w:pPr>
        <w:spacing w:after="160" w:line="280" w:lineRule="auto"/>
        <w:numPr>
          <w:ilvl w:val="0"/>
          <w:numId w:val="10"/>
        </w:numPr>
      </w:pPr>
      <w:r>
        <w:rPr>
          <w:rFonts w:ascii="Calibri" w:hAnsi="Calibri"/>
          <w:b w:val="0"/>
          <w:i w:val="0"/>
          <w:color w:val="2F4F57"/>
          <w:sz w:val="22"/>
        </w:rPr>
        <w:t>Containment and remediation actions prioritized by risk.</w:t>
      </w:r>
    </w:p>
    <w:p>
      <w:pPr>
        <w:spacing w:after="160" w:line="280" w:lineRule="auto"/>
        <w:numPr>
          <w:ilvl w:val="0"/>
          <w:numId w:val="10"/>
        </w:numPr>
      </w:pPr>
      <w:r>
        <w:rPr>
          <w:rFonts w:ascii="Calibri" w:hAnsi="Calibri"/>
          <w:b w:val="0"/>
          <w:i w:val="0"/>
          <w:color w:val="2F4F57"/>
          <w:sz w:val="22"/>
        </w:rPr>
        <w:t>Customer communication consistent with Clause 9 and applicable law.</w:t>
      </w:r>
    </w:p>
    <w:p>
      <w:pPr>
        <w:pStyle w:val="Heading2"/>
      </w:pPr>
      <w:r>
        <w:t>Data lifecycle governance</w:t>
      </w:r>
    </w:p>
    <w:p>
      <w:r>
        <w:rPr>
          <w:rFonts w:ascii="Calibri" w:hAnsi="Calibri"/>
          <w:b w:val="0"/>
          <w:i w:val="0"/>
          <w:color w:val="2F4F57"/>
          <w:sz w:val="22"/>
        </w:rPr>
        <w:t>Customer Personal Data is governed from collection through deletion.</w:t>
      </w:r>
    </w:p>
    <w:p>
      <w:pPr>
        <w:spacing w:after="160" w:line="280" w:lineRule="auto"/>
        <w:numPr>
          <w:ilvl w:val="0"/>
          <w:numId w:val="10"/>
        </w:numPr>
      </w:pPr>
      <w:r>
        <w:rPr>
          <w:rFonts w:ascii="Calibri" w:hAnsi="Calibri"/>
          <w:b w:val="0"/>
          <w:i w:val="0"/>
          <w:color w:val="2F4F57"/>
          <w:sz w:val="22"/>
        </w:rPr>
        <w:t>Data-minimization and configurable collection patterns.</w:t>
      </w:r>
    </w:p>
    <w:p>
      <w:pPr>
        <w:spacing w:after="160" w:line="280" w:lineRule="auto"/>
        <w:numPr>
          <w:ilvl w:val="0"/>
          <w:numId w:val="10"/>
        </w:numPr>
      </w:pPr>
      <w:r>
        <w:rPr>
          <w:rFonts w:ascii="Calibri" w:hAnsi="Calibri"/>
          <w:b w:val="0"/>
          <w:i w:val="0"/>
          <w:color w:val="2F4F57"/>
          <w:sz w:val="22"/>
        </w:rPr>
        <w:t>Retention, export and deletion processes aligned to Customer instructions.</w:t>
      </w:r>
    </w:p>
    <w:p>
      <w:pPr>
        <w:spacing w:after="160" w:line="280" w:lineRule="auto"/>
        <w:numPr>
          <w:ilvl w:val="0"/>
          <w:numId w:val="10"/>
        </w:numPr>
      </w:pPr>
      <w:r>
        <w:rPr>
          <w:rFonts w:ascii="Calibri" w:hAnsi="Calibri"/>
          <w:b w:val="0"/>
          <w:i w:val="0"/>
          <w:color w:val="2F4F57"/>
          <w:sz w:val="22"/>
        </w:rPr>
        <w:t>Controlled disposal of data and media within the applicable responsibility boundary.</w:t>
      </w:r>
    </w:p>
    <w:p>
      <w:pPr>
        <w:pStyle w:val="Heading2"/>
      </w:pPr>
      <w:r>
        <w:t>Personnel and supplier assurance</w:t>
      </w:r>
    </w:p>
    <w:p>
      <w:r>
        <w:rPr>
          <w:rFonts w:ascii="Calibri" w:hAnsi="Calibri"/>
          <w:b w:val="0"/>
          <w:i w:val="0"/>
          <w:color w:val="2F4F57"/>
          <w:sz w:val="22"/>
        </w:rPr>
        <w:t>People and third parties with authorized access are governed through confidentiality and oversight.</w:t>
      </w:r>
    </w:p>
    <w:p>
      <w:pPr>
        <w:spacing w:after="160" w:line="280" w:lineRule="auto"/>
        <w:numPr>
          <w:ilvl w:val="0"/>
          <w:numId w:val="10"/>
        </w:numPr>
      </w:pPr>
      <w:r>
        <w:rPr>
          <w:rFonts w:ascii="Calibri" w:hAnsi="Calibri"/>
          <w:b w:val="0"/>
          <w:i w:val="0"/>
          <w:color w:val="2F4F57"/>
          <w:sz w:val="22"/>
        </w:rPr>
        <w:t>Confidentiality obligations and role-appropriate security awareness.</w:t>
      </w:r>
    </w:p>
    <w:p>
      <w:pPr>
        <w:spacing w:after="160" w:line="280" w:lineRule="auto"/>
        <w:numPr>
          <w:ilvl w:val="0"/>
          <w:numId w:val="10"/>
        </w:numPr>
      </w:pPr>
      <w:r>
        <w:rPr>
          <w:rFonts w:ascii="Calibri" w:hAnsi="Calibri"/>
          <w:b w:val="0"/>
          <w:i w:val="0"/>
          <w:color w:val="2F4F57"/>
          <w:sz w:val="22"/>
        </w:rPr>
        <w:t>Risk-based supplier due diligence and contractual data-protection controls.</w:t>
      </w:r>
    </w:p>
    <w:p>
      <w:pPr>
        <w:spacing w:after="160" w:line="280" w:lineRule="auto"/>
        <w:numPr>
          <w:ilvl w:val="0"/>
          <w:numId w:val="10"/>
        </w:numPr>
      </w:pPr>
      <w:r>
        <w:rPr>
          <w:rFonts w:ascii="Calibri" w:hAnsi="Calibri"/>
          <w:b w:val="0"/>
          <w:i w:val="0"/>
          <w:color w:val="2F4F57"/>
          <w:sz w:val="22"/>
        </w:rPr>
        <w:t>Subprocessor change governance and responsibility as described in Clause 6.</w:t>
      </w:r>
    </w:p>
    <w:p>
      <w:pPr>
        <w:pStyle w:val="Heading1"/>
      </w:pPr>
      <w:r>
        <w:t>Schedule 3 — Subprocessor governance</w:t>
      </w:r>
    </w:p>
    <w:p>
      <w:pPr>
        <w:spacing w:after="160" w:line="280" w:lineRule="auto"/>
        <w:numPr>
          <w:ilvl w:val="0"/>
          <w:numId w:val="10"/>
        </w:numPr>
      </w:pPr>
      <w:r>
        <w:rPr>
          <w:rFonts w:ascii="Calibri" w:hAnsi="Calibri"/>
          <w:b w:val="0"/>
          <w:i w:val="0"/>
          <w:color w:val="2F4F57"/>
          <w:sz w:val="22"/>
        </w:rPr>
        <w:t>Aries AI will maintain a register of Subprocessors that identifies the entity, processing purpose and relevant processing location or service region where reasonably available.</w:t>
      </w:r>
    </w:p>
    <w:p>
      <w:pPr>
        <w:spacing w:after="160" w:line="280" w:lineRule="auto"/>
        <w:numPr>
          <w:ilvl w:val="0"/>
          <w:numId w:val="10"/>
        </w:numPr>
      </w:pPr>
      <w:r>
        <w:rPr>
          <w:rFonts w:ascii="Calibri" w:hAnsi="Calibri"/>
          <w:b w:val="0"/>
          <w:i w:val="0"/>
          <w:color w:val="2F4F57"/>
          <w:sz w:val="22"/>
        </w:rPr>
        <w:t>The current register will be supplied to enterprise customers during contracting or on request. Customer may request enrollment in the applicable Subprocessor-change notification process.</w:t>
      </w:r>
    </w:p>
    <w:p>
      <w:pPr>
        <w:spacing w:after="160" w:line="280" w:lineRule="auto"/>
        <w:numPr>
          <w:ilvl w:val="0"/>
          <w:numId w:val="10"/>
        </w:numPr>
      </w:pPr>
      <w:r>
        <w:rPr>
          <w:rFonts w:ascii="Calibri" w:hAnsi="Calibri"/>
          <w:b w:val="0"/>
          <w:i w:val="0"/>
          <w:color w:val="2F4F57"/>
          <w:sz w:val="22"/>
        </w:rPr>
        <w:t>A Customer objection must explain reasonable grounds relating to data protection. The parties will assess scope, risk, available alternatives and contractual commitments in good faith.</w:t>
      </w:r>
    </w:p>
    <w:p>
      <w:pPr>
        <w:spacing w:after="160" w:line="280" w:lineRule="auto"/>
        <w:numPr>
          <w:ilvl w:val="0"/>
          <w:numId w:val="10"/>
        </w:numPr>
      </w:pPr>
      <w:r>
        <w:rPr>
          <w:rFonts w:ascii="Calibri" w:hAnsi="Calibri"/>
          <w:b w:val="0"/>
          <w:i w:val="0"/>
          <w:color w:val="2F4F57"/>
          <w:sz w:val="22"/>
        </w:rPr>
        <w:t>Where no reasonable solution is available, the Agreement will govern suspension or termination of the affected Service component.</w:t>
      </w:r>
    </w:p>
    <w:p>
      <w:pPr>
        <w:pStyle w:val="Heading1"/>
      </w:pPr>
      <w:r>
        <w:t>Schedule 4 — Deployment responsibility model</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700"/>
        <w:gridCol w:w="6660"/>
      </w:tblGrid>
      <w:tr>
        <w:trPr>
          <w:tblHeader w:val="true"/>
        </w:trPr>
        <w:tc>
          <w:tcPr>
            <w:tcW w:type="dxa" w:w="2700"/>
            <w:tcMar>
              <w:top w:w="100" w:type="dxa"/>
              <w:start w:w="140" w:type="dxa"/>
              <w:bottom w:w="100" w:type="dxa"/>
              <w:end w:w="140" w:type="dxa"/>
            </w:tcMar>
            <w:shd w:fill="F2F4F7"/>
          </w:tcPr>
          <w:p>
            <w:pPr>
              <w:spacing w:after="0"/>
            </w:pPr>
            <w:r>
              <w:rPr>
                <w:rFonts w:ascii="Calibri" w:hAnsi="Calibri"/>
                <w:b/>
                <w:i w:val="0"/>
                <w:color w:val="173F48"/>
                <w:sz w:val="18"/>
              </w:rPr>
              <w:t>PROCESSING ELEMENT</w:t>
            </w:r>
          </w:p>
        </w:tc>
        <w:tc>
          <w:tcPr>
            <w:tcW w:type="dxa" w:w="6660"/>
            <w:tcMar>
              <w:top w:w="100" w:type="dxa"/>
              <w:start w:w="140" w:type="dxa"/>
              <w:bottom w:w="100" w:type="dxa"/>
              <w:end w:w="140" w:type="dxa"/>
            </w:tcMar>
            <w:shd w:fill="F2F4F7"/>
          </w:tcPr>
          <w:p>
            <w:pPr>
              <w:spacing w:after="0"/>
            </w:pPr>
            <w:r>
              <w:rPr>
                <w:rFonts w:ascii="Calibri" w:hAnsi="Calibri"/>
                <w:b/>
                <w:i w:val="0"/>
                <w:color w:val="173F48"/>
                <w:sz w:val="18"/>
              </w:rPr>
              <w:t>ENTERPRISE DESCRIPTION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Managed cloud</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Aries AI operates the contracted managed environment. Region, retention, tenant access, integrations and service controls are defined in the Order Form and solution design.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Private cloud</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A dedicated cloud boundary is configured for the Customer. Operational responsibilities, identity integration, key management, monitoring and support access are allocated during solution design.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On-premise</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Customer controls the hosting environment and underlying infrastructure. The parties document responsibilities for hardening, network security, identity, backup, patching, monitoring, support access and incident coordination.</w:t>
            </w:r>
          </w:p>
        </w:tc>
      </w:tr>
      <w:tr>
        <w:tc>
          <w:tcPr>
            <w:tcW w:type="dxa" w:w="2700"/>
            <w:vAlign w:val="center"/>
            <w:tcMar>
              <w:top w:w="100" w:type="dxa"/>
              <w:start w:w="140" w:type="dxa"/>
              <w:bottom w:w="100" w:type="dxa"/>
              <w:end w:w="140" w:type="dxa"/>
            </w:tcMar>
          </w:tcPr>
          <w:p>
            <w:pPr>
              <w:spacing w:after="0"/>
            </w:pPr>
            <w:r>
              <w:rPr>
                <w:rFonts w:ascii="Calibri" w:hAnsi="Calibri"/>
                <w:b/>
                <w:i w:val="0"/>
                <w:color w:val="173F48"/>
                <w:sz w:val="20"/>
              </w:rPr>
              <w:t>Hybrid</w:t>
            </w:r>
          </w:p>
        </w:tc>
        <w:tc>
          <w:tcPr>
            <w:tcW w:type="dxa" w:w="6660"/>
            <w:vAlign w:val="center"/>
            <w:tcMar>
              <w:top w:w="100" w:type="dxa"/>
              <w:start w:w="140" w:type="dxa"/>
              <w:bottom w:w="100" w:type="dxa"/>
              <w:end w:w="140" w:type="dxa"/>
            </w:tcMar>
          </w:tcPr>
          <w:p>
            <w:pPr>
              <w:spacing w:after="0"/>
            </w:pPr>
            <w:r>
              <w:rPr>
                <w:rFonts w:ascii="Calibri" w:hAnsi="Calibri"/>
                <w:b w:val="0"/>
                <w:i w:val="0"/>
                <w:color w:val="2F4F57"/>
                <w:sz w:val="20"/>
              </w:rPr>
              <w:t>Processing is segmented across approved environments. Data routing, integration paths, regional boundaries and shared operational controls are documented before production use.</w:t>
            </w:r>
          </w:p>
        </w:tc>
      </w:tr>
    </w:tbl>
    <w:p>
      <w:pPr>
        <w:pStyle w:val="Heading1"/>
      </w:pPr>
      <w:r>
        <w:t>Enterprise review and execution</w:t>
      </w:r>
    </w:p>
    <w:p>
      <w:r>
        <w:rPr>
          <w:rFonts w:ascii="Calibri" w:hAnsi="Calibri"/>
          <w:b w:val="0"/>
          <w:i w:val="0"/>
          <w:color w:val="2F4F57"/>
          <w:sz w:val="22"/>
        </w:rPr>
        <w:t>To request an executed DPA, Subprocessor register, security questionnaire response or deployment-specific security schedule, contact info@ariesai.ai with the subject “Aries Reach — Data Protection Review.” Customer legal and privacy review is recommended.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7200"/>
      <w:gridCol w:w="2160"/>
    </w:tblGrid>
    <w:tr>
      <w:tc>
        <w:tcPr>
          <w:tcW w:type="dxa" w:w="7200"/>
          <w:tcMar>
            <w:top w:w="100" w:type="dxa"/>
            <w:start w:w="140" w:type="dxa"/>
            <w:bottom w:w="100" w:type="dxa"/>
            <w:end w:w="140" w:type="dxa"/>
          </w:tcMar>
        </w:tcPr>
        <w:p>
          <w:pPr>
            <w:spacing w:after="0"/>
          </w:pPr>
          <w:r>
            <w:rPr>
              <w:rFonts w:ascii="Calibri" w:hAnsi="Calibri"/>
              <w:b w:val="0"/>
              <w:i w:val="0"/>
              <w:color w:val="5F7A81"/>
              <w:sz w:val="16"/>
            </w:rPr>
            <w:t>© 2026 Aries AI  ·  Confidential enterprise template</w:t>
          </w:r>
        </w:p>
      </w:tc>
      <w:tc>
        <w:tcPr>
          <w:tcW w:type="dxa" w:w="2160"/>
          <w:tcMar>
            <w:top w:w="100" w:type="dxa"/>
            <w:start w:w="140" w:type="dxa"/>
            <w:bottom w:w="100" w:type="dxa"/>
            <w:end w:w="140" w:type="dxa"/>
          </w:tcMar>
        </w:tcPr>
        <w:p>
          <w:pPr>
            <w:jc w:val="right"/>
          </w:pPr>
          <w:r>
            <w:rPr>
              <w:rFonts w:ascii="Calibri" w:hAnsi="Calibri"/>
              <w:b/>
              <w:i w:val="0"/>
              <w:color w:val="5F7A81"/>
              <w:sz w:val="17"/>
            </w:rPr>
            <w:t xml:space="preserve">PAGE </w:t>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5" w:space="5" w:color="C8DADD"/>
      </w:pBdr>
    </w:pPr>
    <w:r>
      <w:rPr>
        <w:rFonts w:ascii="Calibri" w:hAnsi="Calibri"/>
        <w:b/>
        <w:i w:val="0"/>
        <w:color w:val="5F7A81"/>
        <w:sz w:val="17"/>
      </w:rPr>
      <w:t>ARIES REACH  ·  ENTERPRISE DATA PROCESSING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rPr>
        <w:rFonts w:ascii="Calibri" w:hAnsi="Calibri"/>
      </w:rPr>
    </w:lvl>
  </w:abstractNum>
  <w:num w:numId="10">
    <w:abstractNumId w:val="9"/>
  </w:num>
  <w:abstractNum w:abstractNumId="10">
    <w:multiLevelType w:val="singleLevel"/>
    <w:lvl w:ilvl="0">
      <w:start w:val="1"/>
      <w:numFmt w:val="decimal"/>
      <w:lvlText w:val="%1."/>
      <w:lvlJc w:val="left"/>
      <w:pPr>
        <w:tabs>
          <w:tab w:val="num" w:pos="720"/>
        </w:tabs>
        <w:ind w:left="720" w:hanging="360"/>
        <w:spacing w:after="160" w:line="280" w:lineRule="auto"/>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F4F5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9A0B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9A0B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F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Aries Reach Enterprise Data Processing Addendum</dc:title>
  <dc:subject>Enterprise data-processing terms for Aries Reach</dc:subject>
  <dc:creator>Aries AI</dc:creator>
  <cp:keywords>Aries Reach, data processing, DPA, GDPR, enterprise privacy</cp:keywords>
  <dc:description>Enterprise template — version 2.0</dc:description>
  <cp:lastModifiedBy/>
  <cp:revision>1</cp:revision>
  <dcterms:created xsi:type="dcterms:W3CDTF">2013-12-23T23:15:00Z</dcterms:created>
  <dcterms:modified xsi:type="dcterms:W3CDTF">2013-12-23T23:15:00Z</dcterms:modified>
  <cp:category/>
</cp:coreProperties>
</file>